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b/>
          <w:bCs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ИНФОРМАЦИЯ </w:t>
      </w:r>
    </w:p>
    <w:p>
      <w:pPr>
        <w:pStyle w:val="Normal"/>
        <w:spacing w:lineRule="auto" w:line="240" w:before="0" w:after="0"/>
        <w:jc w:val="center"/>
        <w:rPr>
          <w:b/>
          <w:bCs/>
        </w:rPr>
      </w:pPr>
      <w:r>
        <w:rPr>
          <w:rFonts w:ascii="Tinos" w:hAnsi="Tinos"/>
          <w:b/>
          <w:bCs/>
          <w:sz w:val="26"/>
          <w:szCs w:val="26"/>
        </w:rPr>
        <w:t>о результатах проведения плановой проверки в отношении</w:t>
      </w:r>
    </w:p>
    <w:p>
      <w:pPr>
        <w:pStyle w:val="Normal"/>
        <w:spacing w:lineRule="auto" w:line="240" w:before="0" w:after="0"/>
        <w:jc w:val="center"/>
        <w:rPr>
          <w:b/>
          <w:bCs/>
        </w:rPr>
      </w:pPr>
      <w:r>
        <w:rPr>
          <w:rStyle w:val="FontStyle23"/>
          <w:rFonts w:eastAsia="Tahoma" w:cs="Times New Roman" w:ascii="Tinos" w:hAnsi="Tinos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Нефтеперерабатывающего завода</w:t>
      </w:r>
    </w:p>
    <w:p>
      <w:pPr>
        <w:pStyle w:val="Normal"/>
        <w:spacing w:lineRule="auto" w:line="240" w:before="0" w:after="0"/>
        <w:jc w:val="center"/>
        <w:rPr>
          <w:b/>
          <w:bCs/>
        </w:rPr>
      </w:pPr>
      <w:r>
        <w:rPr>
          <w:rStyle w:val="FontStyle23"/>
          <w:rFonts w:eastAsia="Tahoma" w:cs="Times New Roman" w:ascii="Tinos" w:hAnsi="Tinos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АО «Ангарская нефтехимическая компания»</w:t>
      </w:r>
      <w:r>
        <w:rPr>
          <w:rStyle w:val="Style18"/>
          <w:rFonts w:eastAsia="Tahoma" w:cs="Times New Roman" w:ascii="Times New Roman" w:hAnsi="Times New Roman"/>
          <w:b/>
          <w:bCs/>
          <w:i w:val="false"/>
          <w:iCs w:val="false"/>
          <w:color w:val="000000"/>
          <w:kern w:val="2"/>
          <w:position w:val="0"/>
          <w:sz w:val="26"/>
          <w:sz w:val="26"/>
          <w:szCs w:val="26"/>
          <w:u w:val="none"/>
          <w:shd w:fill="FFFFFF" w:val="clear"/>
          <w:vertAlign w:val="baseline"/>
          <w:lang w:val="ru-RU" w:eastAsia="zh-CN" w:bidi="hi-IN"/>
        </w:rPr>
        <w:br/>
      </w:r>
    </w:p>
    <w:p>
      <w:pPr>
        <w:pStyle w:val="Normal"/>
        <w:spacing w:lineRule="auto" w:line="240" w:before="0" w:after="0"/>
        <w:jc w:val="center"/>
        <w:rPr>
          <w:b/>
          <w:bCs/>
        </w:rPr>
      </w:pPr>
      <w:r>
        <w:rPr>
          <w:b/>
          <w:bCs/>
        </w:rPr>
      </w:r>
      <w:bookmarkStart w:id="0" w:name="_GoBack31"/>
      <w:bookmarkStart w:id="1" w:name="_GoBack31"/>
      <w:bookmarkEnd w:id="1"/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jc w:val="both"/>
        <w:rPr/>
      </w:pPr>
      <w:r>
        <w:rPr>
          <w:rFonts w:ascii="Times New Roman" w:hAnsi="Times New Roman"/>
          <w:sz w:val="26"/>
          <w:szCs w:val="26"/>
        </w:rPr>
        <w:t xml:space="preserve">В целях реализации пункта </w:t>
      </w:r>
      <w:r>
        <w:rPr>
          <w:rFonts w:eastAsia="Tahoma" w:cs="Noto Sans Devanagari" w:ascii="Times New Roman" w:hAnsi="Times New Roman"/>
          <w:color w:val="000000"/>
          <w:spacing w:val="0"/>
          <w:kern w:val="0"/>
          <w:sz w:val="26"/>
          <w:szCs w:val="26"/>
          <w:lang w:val="ru-RU" w:eastAsia="zh-CN" w:bidi="hi-IN"/>
        </w:rPr>
        <w:t>24</w:t>
      </w:r>
      <w:r>
        <w:rPr>
          <w:rFonts w:ascii="Times New Roman" w:hAnsi="Times New Roman"/>
          <w:sz w:val="26"/>
          <w:szCs w:val="26"/>
        </w:rPr>
        <w:t xml:space="preserve"> Плана проведения Управлением Федеральной службы войск национальной гвардии Российской Федерации по Иркутской области (далее – Управление) плановых проверок объектов топливно-энергетического комплекса (далее – ТЭК) на 202</w:t>
      </w:r>
      <w:r>
        <w:rPr>
          <w:rFonts w:eastAsia="Tahoma" w:cs="Noto Sans Devanagari" w:ascii="Times New Roman" w:hAnsi="Times New Roman"/>
          <w:color w:val="000000"/>
          <w:spacing w:val="0"/>
          <w:kern w:val="0"/>
          <w:sz w:val="26"/>
          <w:szCs w:val="26"/>
          <w:lang w:val="ru-RU" w:eastAsia="zh-CN" w:bidi="hi-IN"/>
        </w:rPr>
        <w:t>6</w:t>
      </w:r>
      <w:r>
        <w:rPr>
          <w:rFonts w:ascii="Times New Roman" w:hAnsi="Times New Roman"/>
          <w:sz w:val="26"/>
          <w:szCs w:val="26"/>
        </w:rPr>
        <w:t xml:space="preserve"> год, уполномоченной комиссией Управления в соответствии с </w:t>
      </w:r>
      <w:r>
        <w:rPr>
          <w:rFonts w:ascii="Times New Roman" w:hAnsi="Times New Roman"/>
          <w:color w:val="222222"/>
          <w:sz w:val="26"/>
          <w:szCs w:val="26"/>
        </w:rPr>
        <w:t>Правилами осуществления федерального государственного контроля (надзора) за обеспечением безопасности объектов топливно-энергетического комплекса</w:t>
      </w:r>
      <w:r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которым присвоена категория опасности, утвержденными постановлением Правительства Российской Федерации от </w:t>
      </w:r>
      <w:r>
        <w:rPr>
          <w:rFonts w:eastAsia="Times New Roman" w:cs="Courier New" w:ascii="Times New Roman" w:hAnsi="Times New Roman"/>
          <w:b w:val="false"/>
          <w:bCs w:val="false"/>
          <w:color w:val="auto"/>
          <w:kern w:val="0"/>
          <w:sz w:val="26"/>
          <w:szCs w:val="26"/>
          <w:lang w:val="ru-RU" w:eastAsia="ru-RU" w:bidi="ar-SA"/>
        </w:rPr>
        <w:t xml:space="preserve">12 мая </w:t>
      </w:r>
      <w:r>
        <w:rPr>
          <w:rFonts w:ascii="Times New Roman" w:hAnsi="Times New Roman"/>
          <w:b w:val="false"/>
          <w:bCs w:val="false"/>
          <w:sz w:val="26"/>
          <w:szCs w:val="26"/>
        </w:rPr>
        <w:t>20</w:t>
      </w:r>
      <w:r>
        <w:rPr>
          <w:rFonts w:eastAsia="Times New Roman" w:cs="Courier New" w:ascii="Times New Roman" w:hAnsi="Times New Roman"/>
          <w:b w:val="false"/>
          <w:bCs w:val="false"/>
          <w:color w:val="auto"/>
          <w:kern w:val="0"/>
          <w:sz w:val="26"/>
          <w:szCs w:val="26"/>
          <w:lang w:val="ru-RU" w:eastAsia="ru-RU" w:bidi="ar-SA"/>
        </w:rPr>
        <w:t>23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 г. № </w:t>
      </w:r>
      <w:r>
        <w:rPr>
          <w:rFonts w:eastAsia="Times New Roman" w:cs="Courier New" w:ascii="Times New Roman" w:hAnsi="Times New Roman"/>
          <w:b w:val="false"/>
          <w:bCs w:val="false"/>
          <w:color w:val="auto"/>
          <w:kern w:val="0"/>
          <w:sz w:val="26"/>
          <w:szCs w:val="26"/>
          <w:lang w:val="ru-RU" w:eastAsia="ru-RU" w:bidi="ar-SA"/>
        </w:rPr>
        <w:t>740</w:t>
      </w:r>
      <w:r>
        <w:rPr>
          <w:rFonts w:ascii="Times New Roman" w:hAnsi="Times New Roman"/>
          <w:b w:val="false"/>
          <w:bCs w:val="false"/>
          <w:sz w:val="26"/>
          <w:szCs w:val="26"/>
        </w:rPr>
        <w:t>, в период</w:t>
        <w:br/>
        <w:t xml:space="preserve">с </w:t>
      </w:r>
      <w:r>
        <w:rPr>
          <w:rFonts w:eastAsia="Tahoma" w:cs="Noto Sans Devanagari" w:ascii="Times New Roman" w:hAnsi="Times New Roman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3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 по </w:t>
      </w:r>
      <w:r>
        <w:rPr>
          <w:rFonts w:eastAsia="Calibri" w:cs="Times New Roman" w:ascii="Times New Roman" w:hAnsi="Times New Roman"/>
          <w:b w:val="false"/>
          <w:bCs w:val="false"/>
          <w:color w:val="auto"/>
          <w:kern w:val="0"/>
          <w:sz w:val="26"/>
          <w:szCs w:val="26"/>
          <w:lang w:val="ru-RU" w:eastAsia="en-US" w:bidi="ar-SA"/>
        </w:rPr>
        <w:t>14</w:t>
      </w:r>
      <w:r>
        <w:rPr>
          <w:rFonts w:eastAsia="Tahoma" w:cs="Noto Sans Devanagari" w:ascii="Times New Roman" w:hAnsi="Times New Roman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 xml:space="preserve"> сентября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 202</w:t>
      </w:r>
      <w:r>
        <w:rPr>
          <w:rFonts w:eastAsia="Tahoma" w:cs="Noto Sans Devanagari" w:ascii="Times New Roman" w:hAnsi="Times New Roman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6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 года проведена плановая проверка в отношении </w:t>
      </w:r>
      <w:r>
        <w:rPr>
          <w:rFonts w:eastAsia="Times New Roman" w:cs="XO Thames" w:ascii="Times New Roman" w:hAnsi="Times New Roman"/>
          <w:b w:val="false"/>
          <w:bCs w:val="false"/>
          <w:i w:val="false"/>
          <w:iCs w:val="false"/>
          <w:color w:val="000000"/>
          <w:sz w:val="26"/>
          <w:szCs w:val="26"/>
          <w:u w:val="none"/>
          <w:lang w:val="ru-RU" w:eastAsia="ru-RU" w:bidi="ar-SA"/>
        </w:rPr>
        <w:t xml:space="preserve">объекта ТЭК – 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 xml:space="preserve">Нефтеперерабатывающий завод </w:t>
      </w:r>
      <w:r>
        <w:rPr>
          <w:rStyle w:val="FontStyle23"/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0"/>
          <w:position w:val="0"/>
          <w:sz w:val="22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АО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 xml:space="preserve"> «А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н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г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а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р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с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к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а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 xml:space="preserve">я 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н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е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ф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т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е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х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и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м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и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ч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е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с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к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а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 xml:space="preserve">я 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к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о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м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п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а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н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и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я</w:t>
      </w:r>
      <w:r>
        <w:rPr>
          <w:rStyle w:val="FontStyle23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»</w:t>
      </w:r>
      <w:r>
        <w:rPr>
          <w:rStyle w:val="Style18"/>
          <w:rFonts w:eastAsia="Times New Roman" w:cs="Times New Roman" w:ascii="Times New Roman" w:hAnsi="Times New Roman"/>
          <w:b/>
          <w:bCs/>
          <w:i w:val="false"/>
          <w:iCs w:val="false"/>
          <w:color w:val="000000"/>
          <w:spacing w:val="0"/>
          <w:kern w:val="0"/>
          <w:position w:val="0"/>
          <w:sz w:val="26"/>
          <w:sz w:val="26"/>
          <w:szCs w:val="26"/>
          <w:shd w:fill="auto" w:val="clear"/>
          <w:vertAlign w:val="baseline"/>
          <w:lang w:val="ru-RU" w:eastAsia="ru-RU" w:bidi="ar-SA"/>
        </w:rPr>
        <w:t xml:space="preserve"> </w:t>
      </w:r>
      <w:r>
        <w:rPr>
          <w:rStyle w:val="Style18"/>
          <w:rFonts w:eastAsia="Tahoma" w:cs="Noto Sans Devanagari" w:ascii="Times New Roman" w:hAnsi="Times New Roman"/>
          <w:b w:val="false"/>
          <w:bCs w:val="false"/>
          <w:i w:val="false"/>
          <w:iCs w:val="false"/>
          <w:color w:val="000000"/>
          <w:spacing w:val="0"/>
          <w:kern w:val="0"/>
          <w:position w:val="0"/>
          <w:sz w:val="26"/>
          <w:sz w:val="26"/>
          <w:szCs w:val="26"/>
          <w:shd w:fill="auto" w:val="clear"/>
          <w:vertAlign w:val="baseline"/>
          <w:lang w:val="ru-RU" w:eastAsia="zh-CN" w:bidi="hi-IN"/>
        </w:rPr>
        <w:t>средней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 категории опасности.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Предметом проверки является соблюдение субъектом ТЭК обязатель</w:t>
      </w:r>
      <w:r>
        <w:rPr>
          <w:rFonts w:cs="Times New Roman" w:ascii="Times New Roman" w:hAnsi="Times New Roman"/>
          <w:sz w:val="26"/>
          <w:szCs w:val="26"/>
        </w:rPr>
        <w:t>ных требований Федерального закона от 21 июля 2011 г. № 256-ФЗ «О безопасности объектов топливно-энергетического комплекса».</w:t>
      </w:r>
    </w:p>
    <w:p>
      <w:pPr>
        <w:pStyle w:val="Normal"/>
        <w:widowControl/>
        <w:tabs>
          <w:tab w:val="clear" w:pos="709"/>
          <w:tab w:val="left" w:pos="-3402" w:leader="none"/>
          <w:tab w:val="left" w:pos="0" w:leader="none"/>
          <w:tab w:val="left" w:pos="9498" w:leader="none"/>
        </w:tabs>
        <w:suppressAutoHyphens w:val="true"/>
        <w:overflowPunct w:val="false"/>
        <w:bidi w:val="0"/>
        <w:spacing w:lineRule="auto" w:line="240" w:before="0" w:after="0"/>
        <w:ind w:firstLine="709" w:left="0" w:right="-1"/>
        <w:jc w:val="both"/>
        <w:rPr>
          <w:rFonts w:ascii="Times New Roman" w:hAnsi="Times New Roman" w:eastAsia="Tahoma" w:cs="Times New Roman"/>
          <w:b w:val="false"/>
          <w:bCs w:val="false"/>
          <w:i w:val="false"/>
          <w:i w:val="false"/>
          <w:iCs w:val="false"/>
          <w:strike w:val="false"/>
          <w:dstrike w:val="false"/>
          <w:color w:val="auto"/>
          <w:kern w:val="2"/>
          <w:sz w:val="26"/>
          <w:szCs w:val="26"/>
          <w:highlight w:val="yellow"/>
          <w:u w:val="none"/>
          <w:lang w:val="ru-RU" w:eastAsia="zh-CN" w:bidi="hi-IN"/>
        </w:rPr>
      </w:pPr>
      <w:r>
        <w:rPr>
          <w:rStyle w:val="user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Нарушений Требований обеспечения безопасности и антитеррористической защищенности объектов топливно-энергетического комплекса, утвержденных постановлением Правительства Российской Федерации от 3 августа 2024 г.</w:t>
        <w:br/>
        <w:t xml:space="preserve">№ 1046дсп, </w:t>
      </w:r>
      <w:r>
        <w:rPr>
          <w:rStyle w:val="user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 xml:space="preserve">а также </w:t>
      </w:r>
      <w:r>
        <w:rPr>
          <w:rStyle w:val="user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zh-CN" w:bidi="hi-IN"/>
        </w:rPr>
        <w:t>Дополнительных требований к антитеррористической защищенности объектов, включенных в перечень критически важных объектов отраслевых федеральных органов исполнительной власти, в том числе объектов высшего приоритета, подлежащих первоочередному оснащению средствами обнаружения и противодействия противоправному применению беспилотных воздушных судов, утвержденных постановлением Правительства Российской Федерации от 30 ноября 2024 г. № 1691дсп</w:t>
      </w:r>
      <w:r>
        <w:rPr>
          <w:rStyle w:val="user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zh-CN" w:bidi="hi-IN"/>
        </w:rPr>
        <w:t xml:space="preserve">, </w:t>
      </w:r>
      <w:r>
        <w:rPr>
          <w:rStyle w:val="user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не выявлено (акт проверки</w:t>
        <w:br/>
        <w:t>от 14 сентября 2026 г. № ТЭК-65/2026).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jc w:val="both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6"/>
          <w:szCs w:val="26"/>
          <w:shd w:fill="auto" w:val="clear"/>
          <w:lang w:val="ru-RU" w:eastAsia="ru-RU" w:bidi="ar-SA"/>
        </w:rPr>
        <w:t>Информация о результатах проверки направлена в антитеррористическую комиссию в Иркутской области.</w:t>
      </w:r>
    </w:p>
    <w:p>
      <w:pPr>
        <w:pStyle w:val="Standard"/>
        <w:spacing w:before="0" w:after="0"/>
        <w:ind w:firstLine="708" w:left="0" w:right="0"/>
        <w:jc w:val="both"/>
        <w:rPr>
          <w:rStyle w:val="user"/>
          <w:rFonts w:ascii="Times New Roman" w:hAnsi="Times New Roman" w:eastAsia="Times New Roman" w:cs="Times New Roman"/>
          <w:b w:val="false"/>
          <w:bCs/>
          <w:i w:val="false"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r>
    </w:p>
    <w:p>
      <w:pPr>
        <w:pStyle w:val="Normal"/>
        <w:widowControl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eastAsia="Times New Roman" w:cs="Lohit Devanagari"/>
          <w:b w:val="false"/>
          <w:bCs/>
          <w:i w:val="false"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pPr>
      <w:r>
        <w:rPr>
          <w:rFonts w:eastAsia="Times New Roman" w:cs="Lohit Devanagari" w:ascii="Times New Roman" w:hAnsi="Times New Roman"/>
          <w:b w:val="false"/>
          <w:bCs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r>
    </w:p>
    <w:p>
      <w:pPr>
        <w:pStyle w:val="Normal"/>
        <w:widowControl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eastAsia="Times New Roman" w:cs="Lohit Devanagari"/>
          <w:b w:val="false"/>
          <w:bCs/>
          <w:i w:val="false"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pPr>
      <w:r>
        <w:rPr>
          <w:rFonts w:eastAsia="Times New Roman" w:cs="Lohit Devanagari" w:ascii="Times New Roman" w:hAnsi="Times New Roman"/>
          <w:b w:val="false"/>
          <w:bCs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r>
    </w:p>
    <w:p>
      <w:pPr>
        <w:pStyle w:val="BodyTextIndent"/>
        <w:spacing w:lineRule="auto" w:line="240" w:before="0" w:after="0"/>
        <w:ind w:hanging="0" w:left="0" w:right="0"/>
        <w:jc w:val="right"/>
        <w:rPr>
          <w:b w:val="false"/>
          <w:bCs w:val="false"/>
        </w:rPr>
      </w:pPr>
      <w:r>
        <w:rPr>
          <w:rFonts w:eastAsia="Tahoma" w:cs="Noto Sans Devanagari" w:ascii="Times New Roman" w:hAnsi="Times New Roman"/>
          <w:b/>
          <w:bCs/>
          <w:color w:val="000000"/>
          <w:spacing w:val="0"/>
          <w:kern w:val="0"/>
          <w:sz w:val="26"/>
          <w:szCs w:val="26"/>
          <w:lang w:val="ru-RU" w:eastAsia="zh-CN" w:bidi="hi-IN"/>
        </w:rPr>
        <w:t>От</w:t>
      </w:r>
      <w:r>
        <w:rPr>
          <w:rFonts w:ascii="Times New Roman" w:hAnsi="Times New Roman"/>
          <w:b/>
          <w:bCs/>
          <w:sz w:val="26"/>
          <w:szCs w:val="26"/>
        </w:rPr>
        <w:t xml:space="preserve">дел государственного контроля </w:t>
      </w:r>
    </w:p>
    <w:p>
      <w:pPr>
        <w:pStyle w:val="BodyTextIndent"/>
        <w:spacing w:lineRule="auto" w:line="240" w:before="0" w:after="0"/>
        <w:ind w:hanging="0" w:left="0" w:right="0"/>
        <w:jc w:val="right"/>
        <w:rPr>
          <w:b/>
          <w:bCs/>
        </w:rPr>
      </w:pPr>
      <w:r>
        <w:rPr>
          <w:rFonts w:ascii="Times New Roman" w:hAnsi="Times New Roman"/>
          <w:b/>
          <w:bCs/>
          <w:sz w:val="26"/>
          <w:szCs w:val="26"/>
        </w:rPr>
        <w:t>Управления Росгвардии по Иркутской области</w:t>
      </w:r>
    </w:p>
    <w:p>
      <w:pPr>
        <w:pStyle w:val="BodyTextIndent"/>
        <w:spacing w:lineRule="auto" w:line="240" w:before="0" w:after="0"/>
        <w:ind w:hanging="0" w:left="0" w:right="0"/>
        <w:jc w:val="lef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Indent"/>
        <w:spacing w:lineRule="auto" w:line="240" w:before="0" w:after="0"/>
        <w:ind w:hanging="0" w:left="0" w:right="0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BodyTextIndent"/>
        <w:spacing w:lineRule="auto" w:line="240" w:before="0" w:after="0"/>
        <w:ind w:hanging="0" w:left="0" w:right="0"/>
        <w:jc w:val="both"/>
        <w:rPr>
          <w:b/>
          <w:bCs/>
        </w:rPr>
      </w:pPr>
      <w:r>
        <w:rPr>
          <w:b/>
          <w:bCs/>
        </w:rPr>
      </w:r>
    </w:p>
    <w:p>
      <w:pPr>
        <w:pStyle w:val="BodyTextIndent"/>
        <w:spacing w:lineRule="auto" w:line="240" w:before="0" w:after="0"/>
        <w:ind w:hanging="0" w:left="0" w:right="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Indent"/>
        <w:spacing w:lineRule="auto" w:line="240" w:before="0" w:after="0"/>
        <w:ind w:hanging="0" w:left="0" w:right="0"/>
        <w:jc w:val="both"/>
        <w:rPr>
          <w:rFonts w:ascii="Times New Roman" w:hAnsi="Times New Roman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p>
      <w:pPr>
        <w:pStyle w:val="BodyTextIndent"/>
        <w:spacing w:lineRule="auto" w:line="240" w:before="0" w:after="0"/>
        <w:ind w:hanging="0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p>
      <w:pPr>
        <w:pStyle w:val="Normal"/>
        <w:widowControl w:val="false"/>
        <w:suppressAutoHyphens w:val="true"/>
        <w:overflowPunct w:val="false"/>
        <w:bidi w:val="0"/>
        <w:spacing w:lineRule="auto" w:line="240" w:before="0" w:after="0"/>
        <w:ind w:firstLine="680" w:left="0" w:right="0"/>
        <w:jc w:val="both"/>
        <w:rPr>
          <w:rFonts w:ascii="Times New Roman" w:hAnsi="Times New Roman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1134" w:gutter="0" w:header="709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Cambria">
    <w:charset w:val="01"/>
    <w:family w:val="swiss"/>
    <w:pitch w:val="default"/>
  </w:font>
  <w:font w:name="PT Sans"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Courier New">
    <w:charset w:val="01"/>
    <w:family w:val="swiss"/>
    <w:pitch w:val="default"/>
  </w:font>
  <w:font w:name="Lucida Sans Unicode">
    <w:charset w:val="01"/>
    <w:family w:val="swiss"/>
    <w:pitch w:val="default"/>
  </w:font>
  <w:font w:name="Liberation Serif">
    <w:altName w:val="Times New Roman"/>
    <w:charset w:val="01"/>
    <w:family w:val="roman"/>
    <w:pitch w:val="default"/>
  </w:font>
  <w:font w:name="Tinos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Cs w:val="22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Верхний колонтитул Знак"/>
    <w:basedOn w:val="DefaultParagraphFont"/>
    <w:qFormat/>
    <w:rPr/>
  </w:style>
  <w:style w:type="character" w:styleId="Style15">
    <w:name w:val="Нижний колонтитул Знак"/>
    <w:basedOn w:val="DefaultParagraphFont"/>
    <w:qFormat/>
    <w:rPr/>
  </w:style>
  <w:style w:type="character" w:styleId="Style16">
    <w:name w:val="Текст выноски Знак"/>
    <w:basedOn w:val="DefaultParagraphFont"/>
    <w:qFormat/>
    <w:rPr>
      <w:rFonts w:ascii="Tahoma" w:hAnsi="Tahoma"/>
      <w:sz w:val="16"/>
    </w:rPr>
  </w:style>
  <w:style w:type="character" w:styleId="Style17">
    <w:name w:val="Текст сноски Знак"/>
    <w:basedOn w:val="DefaultParagraphFont"/>
    <w:qFormat/>
    <w:rPr>
      <w:rFonts w:ascii="Times New Roman" w:hAnsi="Times New Roman" w:eastAsia="Times New Roman"/>
      <w:sz w:val="20"/>
      <w:szCs w:val="20"/>
      <w:lang w:val="x-none" w:eastAsia="x-none"/>
    </w:rPr>
  </w:style>
  <w:style w:type="character" w:styleId="Style18">
    <w:name w:val="Символ сноски"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Hyperlink">
    <w:name w:val="Hyperlink"/>
    <w:qFormat/>
    <w:rPr>
      <w:color w:val="0000FF"/>
      <w:u w:val="single"/>
    </w:rPr>
  </w:style>
  <w:style w:type="character" w:styleId="apple-converted-space">
    <w:name w:val="apple-converted-space"/>
    <w:basedOn w:val="DefaultParagraphFont"/>
    <w:qFormat/>
    <w:rPr/>
  </w:style>
  <w:style w:type="character" w:styleId="Strong">
    <w:name w:val="Strong"/>
    <w:qFormat/>
    <w:rPr>
      <w:b/>
      <w:bCs/>
    </w:rPr>
  </w:style>
  <w:style w:type="character" w:styleId="FontStyle11">
    <w:name w:val="Font Style11"/>
    <w:basedOn w:val="DefaultParagraphFont"/>
    <w:qFormat/>
    <w:rPr>
      <w:rFonts w:ascii="Times New Roman" w:hAnsi="Times New Roman" w:cs="Times New Roman"/>
      <w:sz w:val="26"/>
      <w:szCs w:val="26"/>
    </w:rPr>
  </w:style>
  <w:style w:type="character" w:styleId="Style19">
    <w:name w:val="Схема документа Знак"/>
    <w:qFormat/>
    <w:rPr>
      <w:rFonts w:ascii="Tahoma" w:hAnsi="Tahoma" w:cs="Tahoma"/>
      <w:sz w:val="16"/>
      <w:szCs w:val="16"/>
    </w:rPr>
  </w:style>
  <w:style w:type="character" w:styleId="Style20">
    <w:name w:val="Знак Знак"/>
    <w:qFormat/>
    <w:rPr>
      <w:sz w:val="24"/>
    </w:rPr>
  </w:style>
  <w:style w:type="character" w:styleId="2">
    <w:name w:val="Основной текст (2)_"/>
    <w:qFormat/>
    <w:rPr>
      <w:shd w:fill="FFFFFF" w:val="clear"/>
    </w:rPr>
  </w:style>
  <w:style w:type="character" w:styleId="Style21">
    <w:name w:val="Основной текст Знак"/>
    <w:qFormat/>
    <w:rPr/>
  </w:style>
  <w:style w:type="character" w:styleId="FontStyle13">
    <w:name w:val="Font Style13"/>
    <w:qFormat/>
    <w:rPr>
      <w:sz w:val="26"/>
      <w:szCs w:val="26"/>
    </w:rPr>
  </w:style>
  <w:style w:type="character" w:styleId="Style22">
    <w:name w:val="Название Знак"/>
    <w:qFormat/>
    <w:rPr>
      <w:sz w:val="20"/>
      <w:szCs w:val="20"/>
    </w:rPr>
  </w:style>
  <w:style w:type="character" w:styleId="FontStyle12">
    <w:name w:val="Font Style12"/>
    <w:qFormat/>
    <w:rPr>
      <w:sz w:val="26"/>
      <w:szCs w:val="26"/>
    </w:rPr>
  </w:style>
  <w:style w:type="character" w:styleId="FontStyle28">
    <w:name w:val="Font Style28"/>
    <w:qFormat/>
    <w:rPr>
      <w:rFonts w:ascii="Times New Roman" w:hAnsi="Times New Roman"/>
      <w:sz w:val="28"/>
    </w:rPr>
  </w:style>
  <w:style w:type="character" w:styleId="EndnoteCharacters">
    <w:name w:val="Endnote Characters"/>
    <w:qFormat/>
    <w:rPr>
      <w:vertAlign w:val="superscript"/>
    </w:rPr>
  </w:style>
  <w:style w:type="character" w:styleId="Style23">
    <w:name w:val="Текст концевой сноски Знак"/>
    <w:qFormat/>
    <w:rPr/>
  </w:style>
  <w:style w:type="character" w:styleId="Style24">
    <w:name w:val="Основной текст с отступом Знак"/>
    <w:qFormat/>
    <w:rPr/>
  </w:style>
  <w:style w:type="character" w:styleId="PageNumber">
    <w:name w:val="page number"/>
    <w:qFormat/>
    <w:rPr/>
  </w:style>
  <w:style w:type="character" w:styleId="21">
    <w:name w:val="Заголовок 2 Знак"/>
    <w:qFormat/>
    <w:rPr>
      <w:rFonts w:ascii="Cambria" w:hAnsi="Cambria" w:cs="Cambria"/>
      <w:b/>
      <w:bCs/>
      <w:i/>
      <w:iCs/>
      <w:sz w:val="28"/>
      <w:szCs w:val="28"/>
    </w:rPr>
  </w:style>
  <w:style w:type="character" w:styleId="Style25">
    <w:name w:val="Основной шрифт абзаца"/>
    <w:qFormat/>
    <w:rPr/>
  </w:style>
  <w:style w:type="character" w:styleId="FontStyle23">
    <w:name w:val="Font Style23"/>
    <w:basedOn w:val="DefaultParagraphFont"/>
    <w:qFormat/>
    <w:rPr>
      <w:rFonts w:ascii="Times New Roman" w:hAnsi="Times New Roman" w:cs="Times New Roman"/>
      <w:b/>
      <w:bCs/>
      <w:sz w:val="22"/>
      <w:szCs w:val="22"/>
    </w:rPr>
  </w:style>
  <w:style w:type="paragraph" w:styleId="Style26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ascii="PT Sans" w:hAnsi="PT Sans" w:cs="FreeSans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qFormat/>
    <w:pPr>
      <w:spacing w:before="0" w:after="200"/>
      <w:ind w:hanging="0" w:left="720" w:right="0"/>
      <w:contextualSpacing/>
    </w:pPr>
    <w:rPr/>
  </w:style>
  <w:style w:type="paragraph" w:styleId="Style2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29">
    <w:name w:val="Колонтитулы"/>
    <w:basedOn w:val="Normal"/>
    <w:qFormat/>
    <w:pPr/>
    <w:rPr/>
  </w:style>
  <w:style w:type="paragraph" w:styleId="user3">
    <w:name w:val="Колонтитулы (user)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sz w:val="20"/>
      <w:szCs w:val="20"/>
      <w:lang w:eastAsia="ru-RU"/>
    </w:rPr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sz w:val="20"/>
      <w:szCs w:val="20"/>
      <w:lang w:eastAsia="ru-RU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/>
      <w:sz w:val="16"/>
      <w:szCs w:val="16"/>
      <w:lang w:eastAsia="ru-RU"/>
    </w:rPr>
  </w:style>
  <w:style w:type="paragraph" w:styleId="FootnoteText">
    <w:name w:val="footnote text"/>
    <w:basedOn w:val="Normal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val="x-none" w:eastAsia="x-none"/>
    </w:rPr>
  </w:style>
  <w:style w:type="paragraph" w:styleId="s1">
    <w:name w:val="s_1"/>
    <w:basedOn w:val="Normal"/>
    <w:qFormat/>
    <w:pPr>
      <w:spacing w:lineRule="auto" w:line="240" w:before="49" w:after="49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ConsPlusTitle">
    <w:name w:val="ConsPlusTitle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ru-RU" w:eastAsia="ru-RU" w:bidi="ar-SA"/>
    </w:rPr>
  </w:style>
  <w:style w:type="paragraph" w:styleId="ConsPlusNormal">
    <w:name w:val="ConsPlus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8"/>
      <w:szCs w:val="28"/>
      <w:lang w:val="ru-RU" w:eastAsia="ru-RU" w:bidi="ar-SA"/>
    </w:rPr>
  </w:style>
  <w:style w:type="paragraph" w:styleId="ConsPlusNonformat">
    <w:name w:val="ConsPlusNonformat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2"/>
      <w:szCs w:val="20"/>
      <w:lang w:val="ru-RU" w:eastAsia="ru-RU" w:bidi="ar-SA"/>
    </w:rPr>
  </w:style>
  <w:style w:type="paragraph" w:styleId="Style110">
    <w:name w:val="Style1"/>
    <w:basedOn w:val="Normal"/>
    <w:qFormat/>
    <w:pPr>
      <w:widowControl w:val="false"/>
      <w:spacing w:lineRule="exact" w:line="286" w:before="0" w:after="0"/>
      <w:jc w:val="both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DocumentMap">
    <w:name w:val="Document Map"/>
    <w:basedOn w:val="Normal"/>
    <w:qFormat/>
    <w:pPr/>
    <w:rPr>
      <w:rFonts w:ascii="Tahoma" w:hAnsi="Tahoma" w:cs="Tahoma"/>
      <w:sz w:val="16"/>
      <w:szCs w:val="16"/>
    </w:rPr>
  </w:style>
  <w:style w:type="paragraph" w:styleId="22">
    <w:name w:val="Основной текст (2)"/>
    <w:basedOn w:val="Normal"/>
    <w:qFormat/>
    <w:pPr>
      <w:widowControl w:val="false"/>
      <w:shd w:val="clear" w:fill="FFFFFF"/>
      <w:spacing w:lineRule="atLeast" w:line="240" w:before="0" w:after="360"/>
      <w:ind w:hanging="2160" w:left="0" w:right="0"/>
    </w:pPr>
    <w:rPr>
      <w:b/>
      <w:bCs/>
      <w:sz w:val="22"/>
      <w:szCs w:val="22"/>
    </w:rPr>
  </w:style>
  <w:style w:type="paragraph" w:styleId="Style51">
    <w:name w:val="Style5"/>
    <w:basedOn w:val="Normal"/>
    <w:qFormat/>
    <w:pPr>
      <w:widowControl w:val="false"/>
    </w:pPr>
    <w:rPr/>
  </w:style>
  <w:style w:type="paragraph" w:styleId="Style210">
    <w:name w:val="Style2"/>
    <w:basedOn w:val="Normal"/>
    <w:qFormat/>
    <w:pPr>
      <w:widowControl w:val="false"/>
      <w:spacing w:lineRule="exact" w:line="322"/>
      <w:ind w:firstLine="1114" w:left="0" w:right="0"/>
      <w:jc w:val="both"/>
    </w:pPr>
    <w:rPr/>
  </w:style>
  <w:style w:type="paragraph" w:styleId="Style41">
    <w:name w:val="Style4"/>
    <w:basedOn w:val="Normal"/>
    <w:qFormat/>
    <w:pPr>
      <w:widowControl w:val="false"/>
      <w:spacing w:lineRule="exact" w:line="320"/>
      <w:ind w:firstLine="648" w:left="0" w:right="0"/>
      <w:jc w:val="both"/>
    </w:pPr>
    <w:rPr>
      <w:rFonts w:ascii="Lucida Sans Unicode" w:hAnsi="Lucida Sans Unicode" w:cs="Lucida Sans Unicode"/>
    </w:rPr>
  </w:style>
  <w:style w:type="paragraph" w:styleId="Style31">
    <w:name w:val="Style3"/>
    <w:basedOn w:val="Normal"/>
    <w:qFormat/>
    <w:pPr>
      <w:widowControl w:val="false"/>
    </w:pPr>
    <w:rPr>
      <w:rFonts w:ascii="Lucida Sans Unicode" w:hAnsi="Lucida Sans Unicode" w:cs="Lucida Sans Unicode"/>
    </w:rPr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before="0" w:after="0"/>
      <w:jc w:val="left"/>
      <w:textAlignment w:val="auto"/>
    </w:pPr>
    <w:rPr>
      <w:rFonts w:ascii="Calibri" w:hAnsi="Calibri" w:eastAsia="Courier New" w:cs="Calibri"/>
      <w:color w:val="auto"/>
      <w:kern w:val="2"/>
      <w:sz w:val="22"/>
      <w:szCs w:val="22"/>
      <w:lang w:val="ru-RU" w:eastAsia="ru-RU" w:bidi="ar-SA"/>
    </w:rPr>
  </w:style>
  <w:style w:type="paragraph" w:styleId="Style61">
    <w:name w:val="Style6"/>
    <w:basedOn w:val="Normal"/>
    <w:qFormat/>
    <w:pPr>
      <w:widowControl w:val="false"/>
      <w:spacing w:lineRule="exact" w:line="321"/>
      <w:ind w:firstLine="710" w:left="0" w:right="0"/>
      <w:jc w:val="both"/>
    </w:pPr>
    <w:rPr>
      <w:rFonts w:ascii="Lucida Sans Unicode" w:hAnsi="Lucida Sans Unicode" w:cs="Lucida Sans Unicode"/>
    </w:rPr>
  </w:style>
  <w:style w:type="paragraph" w:styleId="Style71">
    <w:name w:val="Style7"/>
    <w:basedOn w:val="Normal"/>
    <w:qFormat/>
    <w:pPr>
      <w:widowControl w:val="false"/>
      <w:jc w:val="center"/>
    </w:pPr>
    <w:rPr/>
  </w:style>
  <w:style w:type="paragraph" w:styleId="1">
    <w:name w:val="1"/>
    <w:basedOn w:val="Normal"/>
    <w:qFormat/>
    <w:pPr>
      <w:widowControl w:val="false"/>
      <w:spacing w:lineRule="exact" w:line="240" w:before="0" w:after="160"/>
      <w:jc w:val="right"/>
    </w:pPr>
    <w:rPr>
      <w:sz w:val="20"/>
      <w:szCs w:val="20"/>
      <w:lang w:val="en-GB" w:eastAsia="en-US"/>
    </w:rPr>
  </w:style>
  <w:style w:type="paragraph" w:styleId="TableGrid">
    <w:name w:val="Table Grid"/>
    <w:qFormat/>
    <w:pPr>
      <w:widowControl w:val="false"/>
      <w:suppressAutoHyphens w:val="true"/>
      <w:overflowPunct w:val="fals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0"/>
      <w:szCs w:val="20"/>
      <w:lang w:val="ru-RU" w:eastAsia="ru-RU" w:bidi="ar-SA"/>
    </w:rPr>
  </w:style>
  <w:style w:type="paragraph" w:styleId="Iie">
    <w:name w:val="Обычный.Iie"/>
    <w:qFormat/>
    <w:pPr>
      <w:widowControl/>
      <w:suppressAutoHyphens w:val="true"/>
      <w:overflowPunct w:val="false"/>
      <w:bidi w:val="0"/>
      <w:spacing w:before="0" w:after="0"/>
      <w:jc w:val="left"/>
      <w:textAlignment w:val="auto"/>
    </w:pPr>
    <w:rPr>
      <w:rFonts w:ascii="Times New Roman" w:hAnsi="Times New Roman" w:eastAsia="Courier New" w:cs="Times New Roman"/>
      <w:color w:val="auto"/>
      <w:kern w:val="2"/>
      <w:sz w:val="20"/>
      <w:szCs w:val="20"/>
      <w:lang w:val="ru-RU" w:eastAsia="ru-RU" w:bidi="ar-SA"/>
    </w:rPr>
  </w:style>
  <w:style w:type="paragraph" w:styleId="NormalWeb">
    <w:name w:val="Normal (Web)"/>
    <w:basedOn w:val="Normal"/>
    <w:qFormat/>
    <w:pPr>
      <w:spacing w:before="100" w:after="100"/>
    </w:pPr>
    <w:rPr/>
  </w:style>
  <w:style w:type="paragraph" w:styleId="BodyTextIndent">
    <w:name w:val="Body Text Indent"/>
    <w:basedOn w:val="BodyText"/>
    <w:pPr>
      <w:widowControl w:val="false"/>
      <w:tabs>
        <w:tab w:val="clear" w:pos="709"/>
        <w:tab w:val="left" w:pos="1077" w:leader="none"/>
      </w:tabs>
      <w:suppressAutoHyphens w:val="true"/>
      <w:overflowPunct w:val="true"/>
      <w:bidi w:val="0"/>
      <w:spacing w:lineRule="auto" w:line="240" w:before="0" w:after="0"/>
      <w:ind w:firstLine="567" w:left="0" w:right="0"/>
      <w:jc w:val="both"/>
    </w:pPr>
    <w:rPr/>
  </w:style>
  <w:style w:type="paragraph" w:styleId="Standard">
    <w:name w:val="Standard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Liberation Serif" w:hAnsi="Liberation Serif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numbering" w:styleId="Style30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Application>LibreOffice/25.8.3.2$Linux_X86_64 LibreOffice_project/580$Build-2</Application>
  <AppVersion>15.0000</AppVersion>
  <Pages>1</Pages>
  <Words>226</Words>
  <Characters>1780</Characters>
  <CharactersWithSpaces>2002</CharactersWithSpaces>
  <Paragraphs>10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description/>
  <dc:language>ru-RU</dc:language>
  <cp:lastModifiedBy/>
  <cp:lastPrinted>2026-01-26T18:43:48Z</cp:lastPrinted>
  <dcterms:modified xsi:type="dcterms:W3CDTF">2026-09-15T18:07:36Z</dcterms:modified>
  <cp:revision>100</cp:revision>
  <dc:subject/>
  <dc:title>в ОКГС ГУВО МВД России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Operator">
    <vt:lpwstr>Staff</vt:lpwstr>
  </property>
  <property fmtid="{D5CDD505-2E9C-101B-9397-08002B2CF9AE}" pid="5" name="ScaleCrop">
    <vt:bool>0</vt:bool>
  </property>
  <property fmtid="{D5CDD505-2E9C-101B-9397-08002B2CF9AE}" pid="6" name="ShareDoc">
    <vt:bool>0</vt:bool>
  </property>
</Properties>
</file>