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nos" w:hAnsi="Tinos"/>
        </w:rPr>
      </w:pPr>
      <w:r>
        <w:rPr>
          <w:rFonts w:ascii="Tinos" w:hAnsi="Tinos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nos" w:hAnsi="Tinos"/>
        </w:rPr>
      </w:pPr>
      <w:r>
        <w:rPr>
          <w:rFonts w:ascii="Tinos" w:hAnsi="Tinos"/>
          <w:b/>
          <w:bCs/>
          <w:sz w:val="26"/>
          <w:szCs w:val="26"/>
        </w:rPr>
        <w:t>о результатах проведения плановой проверки в отношении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user"/>
          <w:rFonts w:eastAsia="Times New Roman" w:cs="Times New Roman" w:ascii="Tinos" w:hAnsi="Tinos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Склада горюче смазочных материалов ООО «Кастор» </w:t>
      </w:r>
    </w:p>
    <w:p>
      <w:pPr>
        <w:pStyle w:val="Normal"/>
        <w:spacing w:lineRule="auto" w:line="240" w:before="0" w:after="0"/>
        <w:jc w:val="center"/>
        <w:rPr>
          <w:rFonts w:ascii="Tinos" w:hAnsi="Tinos"/>
          <w:b/>
          <w:bCs/>
          <w:sz w:val="26"/>
          <w:szCs w:val="26"/>
        </w:rPr>
      </w:pPr>
      <w:r>
        <w:rPr>
          <w:rFonts w:ascii="Tinos" w:hAnsi="Tinos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Normal"/>
        <w:widowControl/>
        <w:suppressAutoHyphens w:val="true"/>
        <w:bidi w:val="0"/>
        <w:spacing w:lineRule="auto" w:line="240" w:before="0" w:after="0"/>
        <w:ind w:firstLine="567" w:left="0" w:right="0"/>
        <w:jc w:val="both"/>
        <w:rPr/>
      </w:pPr>
      <w:r>
        <w:rPr>
          <w:rFonts w:ascii="Tinos" w:hAnsi="Tinos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nos" w:hAnsi="Tinos"/>
          <w:color w:val="000000"/>
          <w:spacing w:val="0"/>
          <w:kern w:val="0"/>
          <w:sz w:val="26"/>
          <w:szCs w:val="26"/>
          <w:lang w:val="ru-RU" w:eastAsia="zh-CN" w:bidi="hi-IN"/>
        </w:rPr>
        <w:t>12</w:t>
      </w:r>
      <w:r>
        <w:rPr>
          <w:rFonts w:ascii="Tinos" w:hAnsi="Tinos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eastAsia="Tahoma" w:cs="Noto Sans Devanagari" w:ascii="Tinos" w:hAnsi="Tinos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nos" w:hAnsi="Tinos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nos" w:hAnsi="Tinos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nos" w:hAnsi="Tinos"/>
          <w:sz w:val="26"/>
          <w:szCs w:val="26"/>
        </w:rPr>
        <w:t xml:space="preserve">, </w:t>
      </w:r>
      <w:r>
        <w:rPr>
          <w:rFonts w:ascii="Tinos" w:hAnsi="Tinos"/>
          <w:b w:val="false"/>
          <w:bCs w:val="false"/>
          <w:sz w:val="26"/>
          <w:szCs w:val="26"/>
        </w:rPr>
        <w:t>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nos" w:hAnsi="Tinos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nos" w:hAnsi="Tinos"/>
          <w:b w:val="false"/>
          <w:bCs w:val="false"/>
          <w:sz w:val="26"/>
          <w:szCs w:val="26"/>
        </w:rPr>
        <w:t>20</w:t>
      </w:r>
      <w:r>
        <w:rPr>
          <w:rFonts w:eastAsia="Times New Roman" w:cs="Courier New" w:ascii="Tinos" w:hAnsi="Tinos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nos" w:hAnsi="Tinos"/>
          <w:b w:val="false"/>
          <w:bCs w:val="false"/>
          <w:sz w:val="26"/>
          <w:szCs w:val="26"/>
        </w:rPr>
        <w:t xml:space="preserve"> г. № </w:t>
      </w:r>
      <w:r>
        <w:rPr>
          <w:rFonts w:eastAsia="Times New Roman" w:cs="Courier New" w:ascii="Tinos" w:hAnsi="Tinos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nos" w:hAnsi="Tinos"/>
          <w:b w:val="false"/>
          <w:bCs w:val="false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nos" w:hAnsi="Tinos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4</w:t>
      </w:r>
      <w:r>
        <w:rPr>
          <w:rFonts w:ascii="Tinos" w:hAnsi="Tinos"/>
          <w:b w:val="false"/>
          <w:bCs w:val="false"/>
          <w:sz w:val="26"/>
          <w:szCs w:val="26"/>
        </w:rPr>
        <w:t xml:space="preserve"> по </w:t>
      </w:r>
      <w:r>
        <w:rPr>
          <w:rFonts w:eastAsia="Calibri" w:cs="Times New Roman" w:ascii="Tinos" w:hAnsi="Tinos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13</w:t>
      </w:r>
      <w:r>
        <w:rPr>
          <w:rFonts w:eastAsia="Tahoma" w:cs="Noto Sans Devanagari" w:ascii="Tinos" w:hAnsi="Tinos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мая </w:t>
      </w:r>
      <w:r>
        <w:rPr>
          <w:rFonts w:ascii="Tinos" w:hAnsi="Tinos"/>
          <w:b w:val="false"/>
          <w:bCs w:val="false"/>
          <w:sz w:val="26"/>
          <w:szCs w:val="26"/>
        </w:rPr>
        <w:t>202</w:t>
      </w:r>
      <w:r>
        <w:rPr>
          <w:rFonts w:eastAsia="Tahoma" w:cs="Noto Sans Devanagari" w:ascii="Tinos" w:hAnsi="Tinos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nos" w:hAnsi="Tinos"/>
          <w:b w:val="false"/>
          <w:bCs w:val="false"/>
          <w:sz w:val="26"/>
          <w:szCs w:val="26"/>
        </w:rPr>
        <w:t xml:space="preserve"> года проведена плановая проверка в отношении </w:t>
      </w:r>
      <w:r>
        <w:rPr>
          <w:rFonts w:eastAsia="Times New Roman" w:cs="XO Thames" w:ascii="Tinos" w:hAnsi="Tinos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>категорированного объекта ТЭК – Склада горюче смазочных материалов</w:t>
      </w:r>
      <w:r>
        <w:rPr>
          <w:rStyle w:val="user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 общества с ограниченной ответственностью «Кастор»</w:t>
      </w:r>
      <w:r>
        <w:rPr>
          <w:rStyle w:val="user"/>
          <w:rFonts w:eastAsia="Times New Roman" w:cs="Times New Roman" w:ascii="Tinos" w:hAnsi="Tinos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user"/>
          <w:rFonts w:eastAsia="Tahoma" w:cs="Noto Sans Devanagari" w:ascii="Tinos" w:hAnsi="Tinos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средней</w:t>
      </w:r>
      <w:r>
        <w:rPr>
          <w:rFonts w:ascii="Tinos" w:hAnsi="Tinos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firstLine="567" w:left="0" w:right="0"/>
        <w:jc w:val="both"/>
        <w:rPr>
          <w:rFonts w:ascii="Tinos" w:hAnsi="Tinos"/>
        </w:rPr>
      </w:pPr>
      <w:r>
        <w:rPr>
          <w:rFonts w:cs="Times New Roman" w:ascii="Tinos" w:hAnsi="Tinos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nos" w:hAnsi="Tinos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firstLine="567" w:left="0" w:right="0"/>
        <w:jc w:val="both"/>
        <w:rPr/>
      </w:pPr>
      <w:r>
        <w:rPr>
          <w:rFonts w:cs="Times New Roman" w:ascii="Tinos" w:hAnsi="Tinos"/>
          <w:sz w:val="26"/>
          <w:szCs w:val="26"/>
        </w:rPr>
        <w:t>По результатам проверки составлен акт от</w:t>
      </w:r>
      <w:r>
        <w:rPr>
          <w:rStyle w:val="Style18"/>
          <w:rFonts w:eastAsia="Tahoma" w:cs="Times New Roman" w:ascii="Tinos" w:hAnsi="Tinos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13 мая 2026 г. № ТЭК-43/2026,  </w:t>
      </w:r>
      <w:r>
        <w:rPr>
          <w:rStyle w:val="user"/>
          <w:rFonts w:eastAsia="Tahoma" w:cs="Times New Roman" w:ascii="Tinos" w:hAnsi="Tinos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субъекту ТЭК</w:t>
      </w:r>
      <w:r>
        <w:rPr>
          <w:rStyle w:val="user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выдано предписание от </w:t>
      </w:r>
      <w:r>
        <w:rPr>
          <w:rStyle w:val="Style18"/>
          <w:rFonts w:eastAsia="Tahoma" w:cs="Times New Roman" w:ascii="Tinos" w:hAnsi="Tinos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13 мая 2026 г. № ТЭК-43/2026</w:t>
      </w:r>
      <w:r>
        <w:rPr>
          <w:rStyle w:val="Style18"/>
          <w:rFonts w:eastAsia="Tahoma" w:cs="XO Thames" w:ascii="Tinos" w:hAnsi="Tinos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со сроком исполнения до 1 декабря 2026 года.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firstLine="567" w:left="0" w:right="0"/>
        <w:jc w:val="both"/>
        <w:rPr/>
      </w:pPr>
      <w:r>
        <w:rPr>
          <w:rStyle w:val="user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В отношении юридического и должностного лиц акционерного общества</w:t>
      </w:r>
      <w:r>
        <w:rPr>
          <w:rStyle w:val="user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 </w:t>
      </w:r>
      <w:r>
        <w:rPr>
          <w:rStyle w:val="user"/>
          <w:rFonts w:eastAsia="Tahoma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em w:val="none"/>
          <w:lang w:val="ru-RU" w:eastAsia="zh-CN" w:bidi="hi-IN"/>
        </w:rPr>
        <w:t>«Иркутскнефтепродукт»</w:t>
      </w:r>
      <w:r>
        <w:rPr>
          <w:rStyle w:val="user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 возбуждены </w:t>
      </w:r>
      <w:r>
        <w:rPr>
          <w:rStyle w:val="user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дела об административном правонарушении по части 2</w:t>
      </w:r>
      <w:r>
        <w:rPr>
          <w:rStyle w:val="user"/>
          <w:rFonts w:eastAsia="Source Han Sans CN Regular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ru-RU"/>
        </w:rPr>
        <w:t xml:space="preserve"> статьи 20.30 КоАП РФ «</w:t>
      </w:r>
      <w:r>
        <w:rPr>
          <w:rStyle w:val="user"/>
          <w:rFonts w:eastAsia="Times New Roman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Совершение административного правонарушения, предусмотренного частью 1 настоящей статьи, в отношении объектов топливно-энергетического комплекса, отнесенных к объектам средней категории опасности, если эти действия (бездействие) не содержат признаков уголовно наказуемого деяния</w:t>
      </w:r>
      <w:r>
        <w:rPr>
          <w:rStyle w:val="user"/>
          <w:rFonts w:eastAsia="Source Han Sans CN Regular" w:cs="Times New Roman" w:ascii="Tinos" w:hAnsi="Tinos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ru-RU"/>
        </w:rPr>
        <w:t>».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firstLine="567" w:left="0" w:right="0"/>
        <w:jc w:val="both"/>
        <w:rPr>
          <w:rFonts w:ascii="Tinos" w:hAnsi="Tinos"/>
        </w:rPr>
      </w:pPr>
      <w:r>
        <w:rPr>
          <w:rFonts w:eastAsia="Times New Roman" w:cs="Times New Roman" w:ascii="Tinos" w:hAnsi="Tinos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"/>
        <w:spacing w:lineRule="auto" w:line="240" w:before="0" w:after="0"/>
        <w:ind w:firstLine="708" w:left="0" w:right="0"/>
        <w:jc w:val="both"/>
        <w:rPr>
          <w:rFonts w:ascii="Tinos" w:hAnsi="Tinos" w:eastAsia="Times New Roman" w:cs="Times New Roman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nos" w:hAnsi="Tinos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hanging="0" w:left="0" w:right="0"/>
        <w:jc w:val="both"/>
        <w:rPr>
          <w:rFonts w:ascii="Tinos" w:hAnsi="Tinos" w:eastAsia="Times New Roman" w:cs="Lohit Devanagari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nos" w:hAnsi="Tinos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BodyTextIndent"/>
        <w:spacing w:lineRule="auto" w:line="240" w:before="0" w:after="0"/>
        <w:ind w:hanging="0" w:left="0" w:right="0"/>
        <w:jc w:val="right"/>
        <w:rPr>
          <w:rFonts w:ascii="Tinos" w:hAnsi="Tinos"/>
          <w:b/>
          <w:bCs/>
        </w:rPr>
      </w:pPr>
      <w:r>
        <w:rPr>
          <w:rFonts w:eastAsia="Tahoma" w:cs="Noto Sans Devanagari" w:ascii="Tinos" w:hAnsi="Tinos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От</w:t>
      </w:r>
      <w:r>
        <w:rPr>
          <w:rFonts w:ascii="Tinos" w:hAnsi="Tinos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BodyTextIndent"/>
        <w:spacing w:lineRule="auto" w:line="240" w:before="0" w:after="0"/>
        <w:ind w:hanging="0" w:left="0" w:right="0"/>
        <w:jc w:val="right"/>
        <w:rPr>
          <w:rFonts w:ascii="Tinos" w:hAnsi="Tinos"/>
          <w:b/>
          <w:bCs/>
          <w:sz w:val="26"/>
          <w:szCs w:val="26"/>
        </w:rPr>
      </w:pPr>
      <w:r>
        <w:rPr>
          <w:rFonts w:ascii="Tinos" w:hAnsi="Tinos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BodyTextIndent"/>
        <w:spacing w:lineRule="auto" w:line="240" w:before="0" w:after="0"/>
        <w:ind w:hanging="0" w:left="0" w:right="0"/>
        <w:jc w:val="both"/>
        <w:rPr>
          <w:rFonts w:ascii="Tinos" w:hAnsi="Tinos"/>
          <w:b w:val="false"/>
          <w:bCs w:val="false"/>
          <w:sz w:val="26"/>
          <w:szCs w:val="26"/>
        </w:rPr>
      </w:pPr>
      <w:r>
        <w:rPr>
          <w:rFonts w:ascii="Tinos" w:hAnsi="Tinos"/>
          <w:b w:val="false"/>
          <w:bCs w:val="false"/>
          <w:sz w:val="26"/>
          <w:szCs w:val="26"/>
        </w:rPr>
      </w:r>
    </w:p>
    <w:p>
      <w:pPr>
        <w:pStyle w:val="BodyTextIndent"/>
        <w:spacing w:lineRule="auto" w:line="276" w:before="0" w:after="0"/>
        <w:ind w:hanging="0" w:left="0" w:right="0"/>
        <w:jc w:val="both"/>
        <w:rPr>
          <w:rFonts w:eastAsia="Calibri" w:cs="Times New Roman"/>
          <w:b w:val="false"/>
          <w:bCs w:val="false"/>
          <w:color w:val="auto"/>
          <w:kern w:val="0"/>
          <w:lang w:val="ru-RU" w:eastAsia="en-US" w:bidi="ar-SA"/>
        </w:rPr>
      </w:pPr>
      <w:r>
        <w:rPr>
          <w:rFonts w:eastAsia="Calibri" w:cs="Times New Roman"/>
          <w:b w:val="false"/>
          <w:bCs w:val="false"/>
          <w:color w:val="auto"/>
          <w:kern w:val="0"/>
          <w:lang w:val="ru-RU" w:eastAsia="en-US" w:bidi="ar-SA"/>
        </w:rPr>
      </w:r>
    </w:p>
    <w:p>
      <w:pPr>
        <w:pStyle w:val="BodyTextIndent"/>
        <w:spacing w:lineRule="auto" w:line="276" w:before="0" w:after="0"/>
        <w:ind w:hanging="0" w:left="0" w:right="0"/>
        <w:jc w:val="both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Indent"/>
        <w:spacing w:lineRule="auto" w:line="240" w:before="0" w:after="0"/>
        <w:ind w:hanging="0" w:left="0" w:right="0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Indent"/>
        <w:spacing w:lineRule="auto" w:line="240" w:before="0" w:after="0"/>
        <w:ind w:hanging="0" w:left="0" w:right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9" w:top="1134" w:footer="0" w:bottom="1134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roman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PT Sans"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Liberation Serif">
    <w:altName w:val="Times New Roman"/>
    <w:charset w:val="01"/>
    <w:family w:val="roman"/>
    <w:pitch w:val="default"/>
  </w:font>
  <w:font w:name="Tinos">
    <w:charset w:val="01"/>
    <w:family w:val="swiss"/>
    <w:pitch w:val="default"/>
  </w:font>
  <w:font w:name="Tinos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user">
    <w:name w:val="Символ сноски (user)"/>
    <w:qFormat/>
    <w:rPr>
      <w:vertAlign w:val="superscript"/>
    </w:rPr>
  </w:style>
  <w:style w:type="character" w:styleId="Style18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Hyperlink">
    <w:name w:val="Hyperlink"/>
    <w:qFormat/>
    <w:rPr>
      <w:color w:val="0000FF"/>
      <w:u w:val="single"/>
    </w:rPr>
  </w:style>
  <w:style w:type="character" w:styleId="apple-converted-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19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0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1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2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3">
    <w:name w:val="Текст концевой сноски Знак"/>
    <w:qFormat/>
    <w:rPr/>
  </w:style>
  <w:style w:type="character" w:styleId="Style24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5">
    <w:name w:val="Основной шрифт абзаца"/>
    <w:qFormat/>
    <w:rPr/>
  </w:style>
  <w:style w:type="paragraph" w:styleId="Style26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7">
    <w:name w:val="Указатель"/>
    <w:basedOn w:val="Normal"/>
    <w:qFormat/>
    <w:pPr>
      <w:suppressLineNumbers/>
    </w:pPr>
    <w:rPr>
      <w:rFonts w:cs="Noto Sans Devanagari"/>
    </w:rPr>
  </w:style>
  <w:style w:type="paragraph" w:styleId="user1">
    <w:name w:val="Заголовок (user)"/>
    <w:basedOn w:val="Normal"/>
    <w:next w:val="BodyText"/>
    <w:qFormat/>
    <w:pPr>
      <w:keepNext w:val="true"/>
      <w:spacing w:before="240" w:after="120"/>
    </w:pPr>
    <w:rPr>
      <w:rFonts w:ascii="PT Sans" w:hAnsi="PT Sans" w:eastAsia="Noto Sans CJK SC" w:cs="FreeSans"/>
      <w:sz w:val="28"/>
      <w:szCs w:val="28"/>
    </w:rPr>
  </w:style>
  <w:style w:type="paragraph" w:styleId="user2">
    <w:name w:val="Указатель (user)"/>
    <w:basedOn w:val="Normal"/>
    <w:qFormat/>
    <w:pPr>
      <w:suppressLineNumbers/>
    </w:pPr>
    <w:rPr>
      <w:rFonts w:ascii="PT Sans" w:hAnsi="PT Sans" w:cs="FreeSans"/>
    </w:rPr>
  </w:style>
  <w:style w:type="paragraph" w:styleId="Title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hanging="0" w:left="720" w:right="0"/>
      <w:contextualSpacing/>
    </w:pPr>
    <w:rPr/>
  </w:style>
  <w:style w:type="paragraph" w:styleId="Style28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user3">
    <w:name w:val="Колонтитулы (user)"/>
    <w:basedOn w:val="Normal"/>
    <w:qFormat/>
    <w:pPr/>
    <w:rPr/>
  </w:style>
  <w:style w:type="paragraph" w:styleId="Style29">
    <w:name w:val="Колонтитулы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Footer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FootnoteText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hanging="2160" w:left="0" w:right="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firstLine="1114" w:left="0" w:right="0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firstLine="648" w:left="0" w:right="0"/>
      <w:jc w:val="both"/>
    </w:pPr>
    <w:rPr>
      <w:rFonts w:ascii="Lucida Sans Unicode" w:hAnsi="Lucida Sans Unicode" w:cs="Lucida Sans Unicode"/>
    </w:rPr>
  </w:style>
  <w:style w:type="paragraph" w:styleId="Style31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firstLine="710" w:left="0" w:right="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BodyTextIndent">
    <w:name w:val="Body Text Indent"/>
    <w:basedOn w:val="BodyText"/>
    <w:pPr>
      <w:widowControl w:val="false"/>
      <w:tabs>
        <w:tab w:val="clear" w:pos="709"/>
        <w:tab w:val="left" w:pos="1077" w:leader="none"/>
      </w:tabs>
      <w:suppressAutoHyphens w:val="true"/>
      <w:overflowPunct w:val="true"/>
      <w:bidi w:val="0"/>
      <w:spacing w:lineRule="auto" w:line="240" w:before="0" w:after="0"/>
      <w:ind w:firstLine="567" w:left="0" w:right="0"/>
      <w:jc w:val="both"/>
    </w:pPr>
    <w:rPr/>
  </w:style>
  <w:style w:type="paragraph" w:styleId="Standard">
    <w:name w:val="Standard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numbering" w:styleId="user4">
    <w:name w:val="Без списка (user)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Application>LibreOffice/25.8.3.2$Linux_X86_64 LibreOffice_project/580$Build-2</Application>
  <AppVersion>15.0000</AppVersion>
  <Pages>1</Pages>
  <Words>231</Words>
  <Characters>1678</Characters>
  <CharactersWithSpaces>1904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cp:lastPrinted>2026-05-14T11:01:12Z</cp:lastPrinted>
  <dcterms:modified xsi:type="dcterms:W3CDTF">2026-05-18T08:11:16Z</dcterms:modified>
  <cp:revision>97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