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8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Информация </w:t>
      </w:r>
    </w:p>
    <w:p>
      <w:pPr>
        <w:pStyle w:val="Style28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 xml:space="preserve">о результатах осуществления Управлением Росгвардии по Иркутской области федерального государственного контроля (надзора) за обеспечением безопасности объектов топливно-энергетического комплекса, контроля за деятельностью </w:t>
      </w:r>
      <w:r>
        <w:rPr>
          <w:rFonts w:eastAsia="Times New Roman" w:cs="Times New Roman" w:ascii="Times New Roman" w:hAnsi="Times New Roman"/>
          <w:sz w:val="26"/>
          <w:szCs w:val="26"/>
          <w:u w:val="none"/>
        </w:rPr>
        <w:t xml:space="preserve">подразделений охраны юридических лиц с особыми уставными задачами и подразделений ведомственной охраны, осуществляющих свою деятельность на территории </w:t>
      </w:r>
      <w:r>
        <w:rPr>
          <w:rFonts w:cs="Times New Roman" w:ascii="Times New Roman" w:hAnsi="Times New Roman"/>
          <w:sz w:val="26"/>
          <w:szCs w:val="26"/>
          <w:u w:val="none"/>
        </w:rPr>
        <w:t>Иркутской области,</w:t>
      </w:r>
    </w:p>
    <w:p>
      <w:pPr>
        <w:pStyle w:val="Style28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  <w:u w:val="none"/>
        </w:rPr>
        <w:t>по итогам работы за 2024 год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28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В соответствии с Планами Федеральной службы войск национальной гвардии Российской Федерации проведения плановых проверок обеспечения безопасности и антитеррористической защищенности объектов топливно-энергетического комплекса (далее – ТЭК), подразделений охраны юридических лиц с особыми уставными задачами и подразделений ведомственной охраны (далее – подразделения охраны) на 202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год, а также в целях контроля за устранением выявленных нарушений обязательных требований, предъявляемых к объектам ТЭК и подразделениям охраны, отделом государственного контроля Управления Росгвардии по Иркутской области в течение 202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года осуществлено </w:t>
      </w:r>
      <w:r>
        <w:rPr>
          <w:rFonts w:eastAsia="Calibri" w:cs="Times New Roman" w:ascii="Times New Roman" w:hAnsi="Times New Roman"/>
          <w:b w:val="false"/>
          <w:color w:val="000000"/>
          <w:sz w:val="26"/>
          <w:szCs w:val="26"/>
          <w:u w:val="none"/>
          <w:shd w:fill="auto" w:val="clear"/>
          <w:lang w:eastAsia="en-US"/>
        </w:rPr>
        <w:t>73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проверки, из них: </w:t>
      </w:r>
      <w:r>
        <w:rPr>
          <w:rFonts w:eastAsia="Times New Roman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64 –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по линии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>обеспечения безопасности объектов ТЭК (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28 –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плановых,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36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внеплановых),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9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по линии контроля за деятельностью 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>подразделений охраны (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плановые,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внеплановых).</w:t>
      </w:r>
      <w:r>
        <w:rPr>
          <w:rFonts w:eastAsia="Times New Roman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</w:t>
      </w:r>
    </w:p>
    <w:p>
      <w:pPr>
        <w:pStyle w:val="Style28"/>
        <w:ind w:firstLine="709"/>
        <w:jc w:val="both"/>
        <w:rPr/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 ходе осуществления федерального государственного контроля (надзора) за обеспечением безопасности объектов ТЭК выявлено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262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нарушения требований </w:t>
      </w:r>
      <w:r>
        <w:rPr>
          <w:rFonts w:eastAsia="Tahoma" w:cs="Times New Roman" w:ascii="Times New Roman" w:hAnsi="Times New Roman"/>
          <w:b w:val="false"/>
          <w:bCs w:val="false"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>Правил</w:t>
      </w:r>
      <w:r>
        <w:rPr>
          <w:rFonts w:eastAsia="Tahoma" w:cs="Times New Roman" w:ascii="Times New Roman" w:hAnsi="Times New Roman"/>
          <w:b w:val="false"/>
          <w:bCs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 xml:space="preserve"> по обеспечению безопасности и антитеррористической защищенности объектов ТЭК</w:t>
      </w:r>
      <w:r>
        <w:rPr>
          <w:rFonts w:eastAsia="Tahoma" w:cs="Times New Roman" w:ascii="Times New Roman" w:hAnsi="Times New Roman"/>
          <w:b w:val="false"/>
          <w:bCs w:val="false"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 xml:space="preserve">, утвержденных </w:t>
      </w:r>
      <w:r>
        <w:rPr>
          <w:rFonts w:eastAsia="Tahoma" w:cs="Times New Roman" w:ascii="Times New Roman" w:hAnsi="Times New Roman"/>
          <w:b w:val="false"/>
          <w:bCs/>
          <w:color w:val="000000"/>
          <w:kern w:val="2"/>
          <w:sz w:val="26"/>
          <w:szCs w:val="26"/>
          <w:u w:val="none"/>
          <w:shd w:fill="auto" w:val="clear"/>
          <w:lang w:val="ru-RU" w:eastAsia="ru-RU" w:bidi="hi-IN"/>
        </w:rPr>
        <w:t xml:space="preserve">постановлением Правительства РФ от 5 мая 2012 г. № 458дсп,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Требований обеспечения безопасности и антитеррористической защищенности объектов ТЭК, утвержденных постановлением Правительства РФ от 3 августа 2024 г. № 1046дсп, </w:t>
      </w:r>
      <w:r>
        <w:rPr>
          <w:rFonts w:eastAsia="Calibri" w:cs="Times New Roman" w:ascii="Times New Roman" w:hAnsi="Times New Roman" w:eastAsiaTheme="minorHAnsi"/>
          <w:b w:val="false"/>
          <w:bCs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 xml:space="preserve">и 9 фактов </w:t>
      </w:r>
      <w:r>
        <w:rPr>
          <w:rStyle w:val="Style22"/>
          <w:rFonts w:eastAsia="Calibri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en-US" w:bidi="ar-SA"/>
        </w:rPr>
        <w:t>н</w:t>
      </w:r>
      <w:r>
        <w:rPr>
          <w:rStyle w:val="Style22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евыполнения в установленный срок ранее выданных предписаний об устранении выявленных нарушений</w:t>
      </w:r>
      <w:r>
        <w:rPr>
          <w:rStyle w:val="Style22"/>
          <w:rFonts w:eastAsia="Calibri" w:cs="Times New Roman" w:ascii="Times New Roman" w:hAnsi="Times New Roman" w:eastAsiaTheme="minorHAnsi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en-US" w:bidi="ar-SA"/>
        </w:rPr>
        <w:t>.</w:t>
      </w:r>
    </w:p>
    <w:p>
      <w:pPr>
        <w:pStyle w:val="Style28"/>
        <w:ind w:firstLine="709"/>
        <w:jc w:val="both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  <w:u w:val="none"/>
          <w:shd w:fill="auto" w:val="clear"/>
        </w:rPr>
        <w:t>В отношении виновных юридических и должностных лиц с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оставлено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25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протоколов об административных правонарушениях, из них: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14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по части 1 статьи 20.30 КоАП РФ, </w:t>
      </w:r>
      <w:r>
        <w:rPr>
          <w:rFonts w:eastAsia="Calibri" w:cs="Times New Roman" w:ascii="Times New Roman" w:hAnsi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eastAsia="Calibri"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–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по части 2 статьи 20.30 КоАП РФ, 8 – </w:t>
      </w:r>
      <w:r>
        <w:rPr>
          <w:rStyle w:val="Style16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36 статьи 19.5 КоАП РФ,</w:t>
      </w:r>
      <w:r>
        <w:rPr>
          <w:rStyle w:val="Style16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1 – </w:t>
      </w:r>
      <w:r>
        <w:rPr>
          <w:rStyle w:val="Style16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37 статьи 19.5 КоАП РФ.</w:t>
      </w:r>
    </w:p>
    <w:p>
      <w:pPr>
        <w:pStyle w:val="Style28"/>
        <w:ind w:firstLine="709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Выдано </w:t>
      </w:r>
      <w:r>
        <w:rPr>
          <w:rFonts w:eastAsia="Calibri" w:cs="Times New Roman" w:ascii="Times New Roman" w:hAnsi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22</w:t>
      </w:r>
      <w:r>
        <w:rPr>
          <w:rFonts w:cs="Times New Roman" w:ascii="Times New Roman" w:hAnsi="Times New Roman"/>
          <w:b w:val="false"/>
          <w:sz w:val="26"/>
          <w:szCs w:val="26"/>
          <w:u w:val="none"/>
          <w:shd w:fill="auto" w:val="clear"/>
        </w:rPr>
        <w:t xml:space="preserve"> предписания об устранении выявленных нарушений, из которых 9 выданы субъектам ТЭК повторно. </w:t>
      </w:r>
    </w:p>
    <w:p>
      <w:pPr>
        <w:pStyle w:val="ConsPlusNormal"/>
        <w:ind w:firstLine="709"/>
        <w:jc w:val="both"/>
        <w:rPr/>
      </w:pP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В ходе осуществления мероприятий по контролю за деятельностью </w:t>
      </w:r>
      <w:r>
        <w:rPr>
          <w:rFonts w:eastAsia="Times New Roman" w:cs="Times New Roman"/>
          <w:b w:val="false"/>
          <w:sz w:val="26"/>
          <w:szCs w:val="26"/>
          <w:u w:val="none"/>
          <w:shd w:fill="auto" w:val="clear"/>
        </w:rPr>
        <w:t xml:space="preserve">подразделений охраны 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выявлено 14 нарушений обязательных требований законодательства РФ, предъявляемых к осуществлению охранной деятельности, в том числе 2 в сфере оборота оружия. Установлено </w:t>
      </w:r>
      <w:r>
        <w:rPr>
          <w:rFonts w:cs="Times New Roman"/>
          <w:b w:val="false"/>
          <w:color w:val="000000"/>
          <w:sz w:val="26"/>
          <w:szCs w:val="26"/>
          <w:u w:val="none"/>
          <w:shd w:fill="auto" w:val="clear"/>
        </w:rPr>
        <w:t>2 факта н</w:t>
      </w:r>
      <w:r>
        <w:rPr>
          <w:rStyle w:val="Style22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4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евыполнения в установленный срок законного предписания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>.</w:t>
      </w:r>
    </w:p>
    <w:p>
      <w:pPr>
        <w:pStyle w:val="ConsPlusNormal"/>
        <w:ind w:firstLine="709"/>
        <w:jc w:val="both"/>
        <w:rPr/>
      </w:pPr>
      <w:r>
        <w:rPr>
          <w:rFonts w:cs="Times New Roman"/>
          <w:b w:val="false"/>
          <w:bCs w:val="false"/>
          <w:sz w:val="26"/>
          <w:szCs w:val="26"/>
          <w:u w:val="none"/>
          <w:shd w:fill="auto" w:val="clear"/>
        </w:rPr>
        <w:t>В отношении виновных юридических и должностных лиц с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оставлено </w:t>
      </w:r>
      <w:r>
        <w:rPr>
          <w:rFonts w:eastAsia="Calibri" w:cs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4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 протокола об административных правонарушениях: 2 – </w:t>
      </w:r>
      <w:r>
        <w:rPr>
          <w:rStyle w:val="Style22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6"/>
          <w:szCs w:val="26"/>
          <w:u w:val="none"/>
          <w:shd w:fill="auto" w:val="clear"/>
          <w:em w:val="none"/>
          <w:lang w:val="ru-RU" w:eastAsia="ru-RU" w:bidi="ar-SA"/>
        </w:rPr>
        <w:t xml:space="preserve">по части 1 статьи 20.8 КоАП РФ, </w:t>
      </w:r>
      <w:r>
        <w:rPr>
          <w:rFonts w:eastAsia="Calibri" w:cs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 </w:t>
      </w:r>
      <w:r>
        <w:rPr>
          <w:rStyle w:val="FontStyle11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– </w:t>
      </w:r>
      <w:r>
        <w:rPr>
          <w:rStyle w:val="Style16"/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по части 36 статьи 19.5 КоАП РФ</w:t>
      </w:r>
    </w:p>
    <w:p>
      <w:pPr>
        <w:pStyle w:val="ConsPlusNormal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Выдано 3 предписания об устранении выявленных нарушений обязательных требований. </w:t>
      </w:r>
    </w:p>
    <w:p>
      <w:pPr>
        <w:pStyle w:val="ConsPlusNormal"/>
        <w:ind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Вынесено </w:t>
      </w:r>
      <w:r>
        <w:rPr>
          <w:rFonts w:eastAsia="Calibri" w:cs="Times New Roman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2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 xml:space="preserve"> предостережения о недопустимости нарушений законодательства РФ в области </w:t>
      </w:r>
      <w:r>
        <w:rPr>
          <w:rFonts w:eastAsia="Calibri" w:cs="Times New Roman" w:eastAsiaTheme="minorHAnsi"/>
          <w:b w:val="false"/>
          <w:color w:val="000000"/>
          <w:kern w:val="0"/>
          <w:sz w:val="26"/>
          <w:szCs w:val="26"/>
          <w:u w:val="none"/>
          <w:shd w:fill="auto" w:val="clear"/>
          <w:lang w:val="ru-RU" w:eastAsia="en-US" w:bidi="ar-SA"/>
        </w:rPr>
        <w:t>обеспечения охранной деятельности</w:t>
      </w:r>
      <w:r>
        <w:rPr>
          <w:rFonts w:cs="Times New Roman"/>
          <w:b w:val="false"/>
          <w:sz w:val="26"/>
          <w:szCs w:val="26"/>
          <w:u w:val="none"/>
          <w:shd w:fill="auto" w:val="clear"/>
        </w:rPr>
        <w:t>.</w:t>
      </w:r>
    </w:p>
    <w:p>
      <w:pPr>
        <w:pStyle w:val="ConsPlusNormal"/>
        <w:ind w:firstLine="709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sz w:val="26"/>
          <w:szCs w:val="26"/>
          <w:shd w:fill="auto" w:val="clear"/>
        </w:rPr>
        <w:t>Анализ проведенных контрольных надзорных мероприятий свидетельствует, что основными нарушениями являются: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spacing w:val="-4"/>
          <w:sz w:val="26"/>
          <w:szCs w:val="26"/>
          <w:u w:val="single"/>
          <w:shd w:fill="auto" w:val="clear"/>
        </w:rPr>
        <w:t xml:space="preserve">Для подразделений охраны юридических лиц с особыми уставными задачами и подразделений ведомственной охраны: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области оборота оружия (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нарушение условий хранения оружия; нахождение в комнатах хранения оружия подконтрольных субъектов сверх установленных норм положенности боевого (служебного) ручного стрелкового оружия; закрепление оружия за категорией должностей, не предусмотренных нормами положенности оружия; отсутствие в подразделениях охраны специальных средств, предусмотренных утвержденным </w:t>
      </w:r>
      <w:r>
        <w:rPr>
          <w:rFonts w:ascii="Times New Roman" w:hAnsi="Times New Roman"/>
          <w:iCs/>
          <w:sz w:val="26"/>
          <w:szCs w:val="26"/>
          <w:shd w:fill="auto" w:val="clear"/>
        </w:rPr>
        <w:t>Перечнем)</w:t>
      </w:r>
      <w:r>
        <w:rPr>
          <w:rFonts w:ascii="Times New Roman" w:hAnsi="Times New Roman"/>
          <w:spacing w:val="-4"/>
          <w:sz w:val="26"/>
          <w:szCs w:val="26"/>
          <w:shd w:fill="auto" w:val="clear"/>
        </w:rPr>
        <w:t xml:space="preserve">;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pacing w:val="-4"/>
          <w:sz w:val="26"/>
          <w:szCs w:val="26"/>
          <w:shd w:fill="auto" w:val="clear"/>
        </w:rPr>
        <w:t>нарушение обязательных требований в сфере организации и осуществления охранной деятельности (</w:t>
      </w:r>
      <w:r>
        <w:rPr>
          <w:rFonts w:ascii="Times New Roman" w:hAnsi="Times New Roman"/>
          <w:sz w:val="26"/>
          <w:szCs w:val="26"/>
          <w:shd w:fill="auto" w:val="clear"/>
        </w:rPr>
        <w:t>нарушение сроков прохождения работниками подразделений охраны медицинских осмотров и периодических проверок на пригодность к действиям в условиях, связанных с применением оружия и специальных средств);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1134" w:leader="none"/>
        </w:tabs>
        <w:ind w:left="0" w:firstLine="709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sz w:val="26"/>
          <w:szCs w:val="26"/>
          <w:u w:val="single"/>
          <w:shd w:fill="auto" w:val="clear"/>
        </w:rPr>
        <w:t xml:space="preserve">Для объектов ТЭК: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нарушение обязательных требований, предъявляемых к: физической охране и инженерно-техническим средствам защиты объекта ТЭК; специальным техническим средствам досмотра; системам охранной сигнализации, сбора и обработки информации, оперативной связи, контроля и управления доступом, охранно-телевизионной, охранного освещения, электропитания;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невыполнение в установленный срок законного предписания органа, осуществляющего государственный надзор (контроль), об устранении нарушений законодательства.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ind w:firstLine="708"/>
        <w:jc w:val="right"/>
        <w:rPr>
          <w:rFonts w:ascii="Times New Roman" w:hAnsi="Times New Roman"/>
          <w:b/>
          <w:b/>
          <w:sz w:val="26"/>
          <w:szCs w:val="26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ind w:firstLine="709"/>
        <w:jc w:val="right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b/>
          <w:sz w:val="26"/>
          <w:szCs w:val="26"/>
          <w:shd w:fill="auto" w:val="clear"/>
        </w:rPr>
        <w:t>Управления Росгвардии по Иркутской области</w:t>
      </w:r>
    </w:p>
    <w:sectPr>
      <w:headerReference w:type="default" r:id="rId2"/>
      <w:headerReference w:type="first" r:id="rId3"/>
      <w:type w:val="nextPage"/>
      <w:pgSz w:w="11906" w:h="16838"/>
      <w:pgMar w:left="1701" w:right="1134" w:header="574" w:top="1083" w:footer="0" w:bottom="958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Cambria">
    <w:charset w:val="01"/>
    <w:family w:val="swiss"/>
    <w:pitch w:val="default"/>
  </w:font>
  <w:font w:name="Times New Roman">
    <w:charset w:val="01"/>
    <w:family w:val="swiss"/>
    <w:pitch w:val="default"/>
  </w:font>
  <w:font w:name="Sylfaen">
    <w:charset w:val="01"/>
    <w:family w:val="swiss"/>
    <w:pitch w:val="default"/>
  </w:font>
  <w:font w:name="Times New Roman CYR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2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2"/>
      <w:spacing w:before="0" w:after="200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b1305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Заголовок Знак"/>
    <w:uiPriority w:val="10"/>
    <w:qFormat/>
    <w:locked/>
    <w:rsid w:val="000d699a"/>
    <w:rPr>
      <w:b/>
      <w:sz w:val="36"/>
      <w:u w:val="single"/>
    </w:rPr>
  </w:style>
  <w:style w:type="character" w:styleId="1" w:customStyle="1">
    <w:name w:val="Название Знак1"/>
    <w:basedOn w:val="DefaultParagraphFont"/>
    <w:uiPriority w:val="10"/>
    <w:qFormat/>
    <w:rsid w:val="000d699a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  <w:lang w:eastAsia="ru-RU"/>
    </w:rPr>
  </w:style>
  <w:style w:type="character" w:styleId="Style15" w:customStyle="1">
    <w:name w:val="Текст сноски Знак"/>
    <w:basedOn w:val="DefaultParagraphFont"/>
    <w:uiPriority w:val="99"/>
    <w:semiHidden/>
    <w:qFormat/>
    <w:rsid w:val="00ae6e0a"/>
    <w:rPr>
      <w:rFonts w:ascii="Calibri" w:hAnsi="Calibri" w:eastAsia="Times New Roman" w:cs="Times New Roman"/>
      <w:sz w:val="20"/>
      <w:szCs w:val="20"/>
      <w:lang w:eastAsia="ru-RU"/>
    </w:rPr>
  </w:style>
  <w:style w:type="character" w:styleId="Style16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ae6e0a"/>
    <w:rPr>
      <w:vertAlign w:val="superscript"/>
    </w:rPr>
  </w:style>
  <w:style w:type="character" w:styleId="FontStyle109" w:customStyle="1">
    <w:name w:val="Font Style109"/>
    <w:basedOn w:val="DefaultParagraphFont"/>
    <w:uiPriority w:val="99"/>
    <w:qFormat/>
    <w:rsid w:val="002f0e2a"/>
    <w:rPr>
      <w:rFonts w:ascii="Times New Roman" w:hAnsi="Times New Roman" w:cs="Times New Roman"/>
      <w:sz w:val="26"/>
      <w:szCs w:val="26"/>
    </w:rPr>
  </w:style>
  <w:style w:type="character" w:styleId="FontStyle114" w:customStyle="1">
    <w:name w:val="Font Style114"/>
    <w:basedOn w:val="DefaultParagraphFont"/>
    <w:uiPriority w:val="99"/>
    <w:qFormat/>
    <w:rsid w:val="002f0e2a"/>
    <w:rPr>
      <w:rFonts w:ascii="Times New Roman" w:hAnsi="Times New Roman" w:cs="Times New Roman"/>
      <w:b/>
      <w:bCs/>
      <w:sz w:val="26"/>
      <w:szCs w:val="26"/>
    </w:rPr>
  </w:style>
  <w:style w:type="character" w:styleId="FontStyle116" w:customStyle="1">
    <w:name w:val="Font Style116"/>
    <w:basedOn w:val="DefaultParagraphFont"/>
    <w:uiPriority w:val="99"/>
    <w:qFormat/>
    <w:rsid w:val="002f0e2a"/>
    <w:rPr>
      <w:rFonts w:ascii="Sylfaen" w:hAnsi="Sylfaen" w:cs="Sylfaen"/>
      <w:spacing w:val="20"/>
      <w:sz w:val="18"/>
      <w:szCs w:val="18"/>
    </w:rPr>
  </w:style>
  <w:style w:type="character" w:styleId="Style17" w:customStyle="1">
    <w:name w:val="Основной текст_"/>
    <w:basedOn w:val="DefaultParagraphFont"/>
    <w:link w:val="4"/>
    <w:uiPriority w:val="99"/>
    <w:qFormat/>
    <w:locked/>
    <w:rsid w:val="002f0e2a"/>
    <w:rPr>
      <w:rFonts w:ascii="Times New Roman" w:hAnsi="Times New Roman" w:cs="Times New Roman"/>
      <w:sz w:val="27"/>
      <w:szCs w:val="27"/>
      <w:shd w:fill="FFFFFF" w:val="clear"/>
    </w:rPr>
  </w:style>
  <w:style w:type="character" w:styleId="23pt" w:customStyle="1">
    <w:name w:val="Основной текст (2) + Интервал 3 pt"/>
    <w:basedOn w:val="DefaultParagraphFont"/>
    <w:uiPriority w:val="99"/>
    <w:qFormat/>
    <w:rsid w:val="002f0e2a"/>
    <w:rPr>
      <w:rFonts w:ascii="Times New Roman" w:hAnsi="Times New Roman" w:cs="Times New Roman"/>
      <w:b/>
      <w:bCs/>
      <w:color w:val="000000"/>
      <w:spacing w:val="70"/>
      <w:w w:val="100"/>
      <w:sz w:val="27"/>
      <w:szCs w:val="27"/>
      <w:u w:val="none"/>
      <w:lang w:val="ru-RU"/>
    </w:rPr>
  </w:style>
  <w:style w:type="character" w:styleId="Style18" w:customStyle="1">
    <w:name w:val="Символ сноски"/>
    <w:qFormat/>
    <w:rPr/>
  </w:style>
  <w:style w:type="character" w:styleId="Style19" w:customStyle="1">
    <w:name w:val="Интернет-ссылка"/>
    <w:rPr>
      <w:color w:val="000080"/>
      <w:u w:val="single"/>
    </w:rPr>
  </w:style>
  <w:style w:type="character" w:styleId="Style20" w:customStyle="1">
    <w:name w:val="Привязка концевой сноски"/>
    <w:rPr>
      <w:vertAlign w:val="superscript"/>
    </w:rPr>
  </w:style>
  <w:style w:type="character" w:styleId="Style21" w:customStyle="1">
    <w:name w:val="Символ концевой сноски"/>
    <w:qFormat/>
    <w:rPr/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Style22">
    <w:name w:val="Цветовое выделение для Текст"/>
    <w:qFormat/>
    <w:rPr>
      <w:rFonts w:ascii="Times New Roman CYR" w:hAnsi="Times New Roman CYR" w:cs="Times New Roman CYR"/>
      <w:sz w:val="24"/>
    </w:rPr>
  </w:style>
  <w:style w:type="paragraph" w:styleId="Style23">
    <w:name w:val="Заголовок"/>
    <w:basedOn w:val="Normal"/>
    <w:next w:val="Style24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4">
    <w:name w:val="Body Text"/>
    <w:basedOn w:val="Normal"/>
    <w:pPr>
      <w:spacing w:before="0" w:after="140"/>
    </w:pPr>
    <w:rPr/>
  </w:style>
  <w:style w:type="paragraph" w:styleId="Style25">
    <w:name w:val="List"/>
    <w:basedOn w:val="Style24"/>
    <w:pPr/>
    <w:rPr>
      <w:rFonts w:cs="Noto Sans Devanagari"/>
    </w:rPr>
  </w:style>
  <w:style w:type="paragraph" w:styleId="Style26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cs="Noto Sans Devanagari"/>
    </w:rPr>
  </w:style>
  <w:style w:type="paragraph" w:styleId="Style28">
    <w:name w:val="Title"/>
    <w:basedOn w:val="Normal"/>
    <w:next w:val="Style24"/>
    <w:uiPriority w:val="10"/>
    <w:qFormat/>
    <w:rsid w:val="000d699a"/>
    <w:pPr>
      <w:spacing w:lineRule="auto" w:line="240" w:before="0" w:after="0"/>
      <w:jc w:val="center"/>
    </w:pPr>
    <w:rPr>
      <w:rFonts w:eastAsia="Calibri" w:cs="" w:cstheme="minorBidi" w:eastAsiaTheme="minorHAnsi"/>
      <w:b/>
      <w:sz w:val="36"/>
      <w:u w:val="single"/>
      <w:lang w:eastAsia="en-U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ConsPlusNormal" w:customStyle="1">
    <w:name w:val="ConsPlusNormal"/>
    <w:qFormat/>
    <w:rsid w:val="00ab1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 w:eastAsiaTheme="minorHAnsi"/>
      <w:color w:val="auto"/>
      <w:kern w:val="0"/>
      <w:sz w:val="24"/>
      <w:szCs w:val="24"/>
      <w:lang w:val="ru-RU" w:eastAsia="en-US" w:bidi="ar-SA"/>
    </w:rPr>
  </w:style>
  <w:style w:type="paragraph" w:styleId="Style29">
    <w:name w:val="Footnote Text"/>
    <w:basedOn w:val="Normal"/>
    <w:uiPriority w:val="99"/>
    <w:semiHidden/>
    <w:unhideWhenUsed/>
    <w:rsid w:val="00ae6e0a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607091"/>
    <w:pPr>
      <w:widowControl w:val="false"/>
      <w:spacing w:lineRule="auto" w:line="240" w:before="0" w:after="0"/>
      <w:ind w:left="708" w:hanging="0"/>
    </w:pPr>
    <w:rPr>
      <w:rFonts w:ascii="Times New Roman" w:hAnsi="Times New Roman"/>
      <w:sz w:val="20"/>
      <w:szCs w:val="20"/>
    </w:rPr>
  </w:style>
  <w:style w:type="paragraph" w:styleId="Style31" w:customStyle="1">
    <w:name w:val="Style3"/>
    <w:basedOn w:val="Normal"/>
    <w:uiPriority w:val="99"/>
    <w:qFormat/>
    <w:rsid w:val="002f0e2a"/>
    <w:pPr>
      <w:widowControl w:val="false"/>
      <w:spacing w:lineRule="exact" w:line="324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51" w:customStyle="1">
    <w:name w:val="Style25"/>
    <w:basedOn w:val="Normal"/>
    <w:uiPriority w:val="99"/>
    <w:qFormat/>
    <w:rsid w:val="002f0e2a"/>
    <w:pPr>
      <w:widowControl w:val="false"/>
      <w:spacing w:lineRule="exact" w:line="322" w:before="0" w:after="0"/>
      <w:jc w:val="both"/>
    </w:pPr>
    <w:rPr>
      <w:rFonts w:ascii="Times New Roman" w:hAnsi="Times New Roman" w:eastAsia="" w:eastAsiaTheme="minorEastAsia"/>
      <w:sz w:val="24"/>
      <w:szCs w:val="24"/>
    </w:rPr>
  </w:style>
  <w:style w:type="paragraph" w:styleId="Style291" w:customStyle="1">
    <w:name w:val="Style29"/>
    <w:basedOn w:val="Normal"/>
    <w:uiPriority w:val="99"/>
    <w:qFormat/>
    <w:rsid w:val="002f0e2a"/>
    <w:pPr>
      <w:widowControl w:val="false"/>
      <w:spacing w:lineRule="auto" w:line="240" w:before="0" w:after="0"/>
    </w:pPr>
    <w:rPr>
      <w:rFonts w:ascii="Times New Roman" w:hAnsi="Times New Roman" w:eastAsia="" w:eastAsiaTheme="minorEastAsia"/>
      <w:sz w:val="24"/>
      <w:szCs w:val="24"/>
    </w:rPr>
  </w:style>
  <w:style w:type="paragraph" w:styleId="4" w:customStyle="1">
    <w:name w:val="Основной текст4"/>
    <w:basedOn w:val="Normal"/>
    <w:link w:val="a6"/>
    <w:uiPriority w:val="99"/>
    <w:qFormat/>
    <w:rsid w:val="002f0e2a"/>
    <w:pPr>
      <w:widowControl w:val="false"/>
      <w:shd w:val="clear" w:color="auto" w:fill="FFFFFF"/>
      <w:spacing w:lineRule="atLeast" w:line="240" w:before="0" w:after="720"/>
      <w:ind w:hanging="1960"/>
      <w:jc w:val="right"/>
    </w:pPr>
    <w:rPr>
      <w:rFonts w:ascii="Times New Roman" w:hAnsi="Times New Roman" w:eastAsia="Calibri" w:eastAsiaTheme="minorHAnsi"/>
      <w:sz w:val="27"/>
      <w:szCs w:val="27"/>
      <w:lang w:eastAsia="en-US"/>
    </w:rPr>
  </w:style>
  <w:style w:type="paragraph" w:styleId="Style30" w:customStyle="1">
    <w:name w:val="Верхний и нижний колонтитулы"/>
    <w:basedOn w:val="Normal"/>
    <w:qFormat/>
    <w:pPr>
      <w:suppressLineNumbers/>
      <w:tabs>
        <w:tab w:val="clear" w:pos="708"/>
        <w:tab w:val="center" w:pos="4535" w:leader="none"/>
        <w:tab w:val="right" w:pos="9071" w:leader="none"/>
      </w:tabs>
    </w:pPr>
    <w:rPr/>
  </w:style>
  <w:style w:type="paragraph" w:styleId="Style32">
    <w:name w:val="Header"/>
    <w:basedOn w:val="Style30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7907DE-1C06-4D16-9C99-2661C4ECC6A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Application>LibreOffice/7.0.4.2$Linux_X86_64 LibreOffice_project/dcf040e67528d9187c66b2379df5ea4407429775</Application>
  <AppVersion>15.0000</AppVersion>
  <Pages>2</Pages>
  <Words>548</Words>
  <Characters>4051</Characters>
  <CharactersWithSpaces>4596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2024-02-28T09:07:00Z</dcterms:created>
  <dc:creator>user</dc:creator>
  <dc:description/>
  <dc:language>ru-RU</dc:language>
  <cp:lastModifiedBy/>
  <cp:lastPrinted>2022-12-12T10:27:00Z</cp:lastPrinted>
  <dcterms:modified xsi:type="dcterms:W3CDTF">2025-03-03T12:49:11Z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