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8"/>
        <w:rPr>
          <w:rFonts w:ascii="Times New Roman" w:hAnsi="Times New Roman"/>
          <w:shd w:fill="auto" w:val="clear"/>
        </w:rPr>
      </w:pPr>
      <w:r>
        <w:rPr>
          <w:rFonts w:cs="Times New Roman" w:ascii="Times New Roman" w:hAnsi="Times New Roman"/>
          <w:sz w:val="26"/>
          <w:szCs w:val="26"/>
          <w:u w:val="none"/>
          <w:shd w:fill="auto" w:val="clear"/>
        </w:rPr>
        <w:t xml:space="preserve">Информация </w:t>
      </w:r>
    </w:p>
    <w:p>
      <w:pPr>
        <w:pStyle w:val="Style28"/>
        <w:rPr>
          <w:rFonts w:ascii="Times New Roman" w:hAnsi="Times New Roman"/>
          <w:shd w:fill="auto" w:val="clear"/>
        </w:rPr>
      </w:pPr>
      <w:r>
        <w:rPr>
          <w:rFonts w:cs="Times New Roman" w:ascii="Times New Roman" w:hAnsi="Times New Roman"/>
          <w:sz w:val="26"/>
          <w:szCs w:val="26"/>
          <w:u w:val="none"/>
          <w:shd w:fill="auto" w:val="clear"/>
        </w:rPr>
        <w:t xml:space="preserve">о результатах осуществления Управлением Росгвардии по Иркутской области федерального государственного контроля (надзора) за обеспечением безопасности объектов топливно-энергетического комплекса, контроля за деятельностью </w:t>
      </w:r>
      <w:r>
        <w:rPr>
          <w:rFonts w:eastAsia="Times New Roman" w:cs="Times New Roman" w:ascii="Times New Roman" w:hAnsi="Times New Roman"/>
          <w:sz w:val="26"/>
          <w:szCs w:val="26"/>
          <w:u w:val="none"/>
          <w:shd w:fill="auto" w:val="clear"/>
        </w:rPr>
        <w:t xml:space="preserve">подразделений охраны юридических лиц с особыми уставными задачами и подразделений ведомственной охраны, осуществляющих свою деятельность на территории </w:t>
      </w:r>
      <w:r>
        <w:rPr>
          <w:rFonts w:cs="Times New Roman" w:ascii="Times New Roman" w:hAnsi="Times New Roman"/>
          <w:sz w:val="26"/>
          <w:szCs w:val="26"/>
          <w:u w:val="none"/>
          <w:shd w:fill="auto" w:val="clear"/>
        </w:rPr>
        <w:t>Иркутской области,</w:t>
      </w:r>
    </w:p>
    <w:p>
      <w:pPr>
        <w:pStyle w:val="Style28"/>
        <w:rPr>
          <w:rFonts w:ascii="Times New Roman" w:hAnsi="Times New Roman"/>
          <w:shd w:fill="auto" w:val="clear"/>
        </w:rPr>
      </w:pPr>
      <w:r>
        <w:rPr>
          <w:rFonts w:cs="Times New Roman" w:ascii="Times New Roman" w:hAnsi="Times New Roman"/>
          <w:sz w:val="26"/>
          <w:szCs w:val="26"/>
          <w:u w:val="none"/>
          <w:shd w:fill="auto" w:val="clear"/>
        </w:rPr>
        <w:t>по итогам работы за 1 полугодие 2024 года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</w:r>
    </w:p>
    <w:p>
      <w:pPr>
        <w:pStyle w:val="Style28"/>
        <w:ind w:firstLine="709"/>
        <w:jc w:val="both"/>
        <w:rPr>
          <w:rFonts w:ascii="Times New Roman" w:hAnsi="Times New Roman"/>
          <w:shd w:fill="auto" w:val="clear"/>
        </w:rPr>
      </w:pP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В соответствии с Планами Федеральной службы войск национальной гвардии Российской Федерации проведения плановых проверок обеспечения безопасности и антитеррористической защищенности объектов топливно-энергетического комплекса (далее – ТЭК), подразделений охраны юридических лиц с особыми уставными задачами и подразделений ведомственной охраны (далее – подразделения охраны) на 202</w:t>
      </w:r>
      <w:r>
        <w:rPr>
          <w:rFonts w:eastAsia="Calibri" w:cs="Times New Roman" w:ascii="Times New Roman" w:hAnsi="Times New Roman"/>
          <w:b w:val="false"/>
          <w:color w:val="000000"/>
          <w:sz w:val="26"/>
          <w:szCs w:val="26"/>
          <w:u w:val="none"/>
          <w:shd w:fill="auto" w:val="clear"/>
          <w:lang w:eastAsia="en-US"/>
        </w:rPr>
        <w:t>4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год, а также </w:t>
      </w:r>
      <w:r>
        <w:rPr>
          <w:rFonts w:ascii="Times New Roman" w:hAnsi="Times New Roman"/>
          <w:b w:val="false"/>
          <w:sz w:val="26"/>
          <w:szCs w:val="26"/>
          <w:u w:val="none"/>
          <w:shd w:fill="auto" w:val="clear"/>
        </w:rPr>
        <w:t xml:space="preserve">в целях контроля за устранением выявленных нарушений обязательных требований, предъявляемых к объектам ТЭК и подразделениям охраны, 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отделом государственного контроля Управления Росгвардии по Иркутской области в течение 1 полугодия 202</w:t>
      </w:r>
      <w:r>
        <w:rPr>
          <w:rFonts w:eastAsia="Calibri" w:cs="Times New Roman" w:ascii="Times New Roman" w:hAnsi="Times New Roman" w:eastAsiaTheme="minorHAnsi"/>
          <w:b w:val="false"/>
          <w:sz w:val="26"/>
          <w:szCs w:val="26"/>
          <w:u w:val="none"/>
          <w:shd w:fill="auto" w:val="clear"/>
          <w:lang w:eastAsia="en-US"/>
        </w:rPr>
        <w:t>4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года осуществлено </w:t>
      </w:r>
      <w:r>
        <w:rPr>
          <w:rFonts w:eastAsia="Calibri" w:cs="Times New Roman" w:ascii="Times New Roman" w:hAnsi="Times New Roman"/>
          <w:b w:val="false"/>
          <w:color w:val="000000"/>
          <w:sz w:val="26"/>
          <w:szCs w:val="26"/>
          <w:u w:val="none"/>
          <w:shd w:fill="auto" w:val="clear"/>
          <w:lang w:eastAsia="en-US"/>
        </w:rPr>
        <w:t>34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проверки, из них: </w:t>
      </w:r>
      <w:r>
        <w:rPr>
          <w:rFonts w:eastAsia="Times New Roman" w:cs="Times New Roman" w:ascii="Times New Roman" w:hAnsi="Times New Roman"/>
          <w:b w:val="false"/>
          <w:color w:val="000000"/>
          <w:sz w:val="26"/>
          <w:szCs w:val="26"/>
          <w:u w:val="none"/>
          <w:shd w:fill="auto" w:val="clear"/>
          <w:lang w:eastAsia="en-US"/>
        </w:rPr>
        <w:t>31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– по линии 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обеспечения безопасности объектов ТЭК (</w:t>
      </w:r>
      <w:r>
        <w:rPr>
          <w:rFonts w:cs="Times New Roman" w:ascii="Times New Roman" w:hAnsi="Times New Roman"/>
          <w:b w:val="false"/>
          <w:color w:val="000000"/>
          <w:sz w:val="26"/>
          <w:szCs w:val="26"/>
          <w:u w:val="none"/>
          <w:shd w:fill="auto" w:val="clear"/>
        </w:rPr>
        <w:t>1</w:t>
      </w:r>
      <w:r>
        <w:rPr>
          <w:rFonts w:eastAsia="Calibri" w:cs="Times New Roman" w:ascii="Times New Roman" w:hAnsi="Times New Roman"/>
          <w:b w:val="false"/>
          <w:color w:val="000000"/>
          <w:sz w:val="26"/>
          <w:szCs w:val="26"/>
          <w:u w:val="none"/>
          <w:shd w:fill="auto" w:val="clear"/>
          <w:lang w:eastAsia="en-US"/>
        </w:rPr>
        <w:t>3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– плановых, </w:t>
      </w:r>
      <w:r>
        <w:rPr>
          <w:rFonts w:eastAsia="Calibri" w:cs="Times New Roman" w:ascii="Times New Roman" w:hAnsi="Times New Roman"/>
          <w:b w:val="false"/>
          <w:color w:val="000000"/>
          <w:sz w:val="26"/>
          <w:szCs w:val="26"/>
          <w:u w:val="none"/>
          <w:shd w:fill="auto" w:val="clear"/>
          <w:lang w:eastAsia="en-US"/>
        </w:rPr>
        <w:t>8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– внеплановых), </w:t>
      </w:r>
      <w:r>
        <w:rPr>
          <w:rFonts w:eastAsia="Calibri" w:cs="Times New Roman" w:ascii="Times New Roman" w:hAnsi="Times New Roman"/>
          <w:b w:val="false"/>
          <w:color w:val="000000"/>
          <w:sz w:val="26"/>
          <w:szCs w:val="26"/>
          <w:u w:val="none"/>
          <w:shd w:fill="auto" w:val="clear"/>
          <w:lang w:eastAsia="en-US"/>
        </w:rPr>
        <w:t>3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– по линии контроля за деятельностью 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  <w:shd w:fill="auto" w:val="clear"/>
        </w:rPr>
        <w:t>подразделений охраны (</w:t>
      </w:r>
      <w:r>
        <w:rPr>
          <w:rFonts w:eastAsia="Calibri" w:cs="Times New Roman" w:ascii="Times New Roman" w:hAnsi="Times New Roman"/>
          <w:b w:val="false"/>
          <w:color w:val="000000"/>
          <w:sz w:val="26"/>
          <w:szCs w:val="26"/>
          <w:u w:val="none"/>
          <w:shd w:fill="auto" w:val="clear"/>
          <w:lang w:eastAsia="en-US"/>
        </w:rPr>
        <w:t>1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– плановая, </w:t>
      </w:r>
      <w:r>
        <w:rPr>
          <w:rFonts w:eastAsia="Calibri" w:cs="Times New Roman" w:ascii="Times New Roman" w:hAnsi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 xml:space="preserve">2 – 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внеплановых).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</w:t>
      </w:r>
    </w:p>
    <w:p>
      <w:pPr>
        <w:pStyle w:val="Style28"/>
        <w:ind w:firstLine="709"/>
        <w:jc w:val="both"/>
        <w:rPr/>
      </w:pP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В ходе осуществления федерального государственного контроля (надзора) за обеспечением безопасности объектов ТЭК выявлено 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198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нарушений </w:t>
      </w:r>
      <w:r>
        <w:rPr>
          <w:rFonts w:eastAsia="Calibri"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требований </w:t>
      </w:r>
      <w:r>
        <w:rPr>
          <w:rFonts w:eastAsia="Tahoma" w:cs="Times New Roman" w:ascii="Times New Roman" w:hAnsi="Times New Roman"/>
          <w:b w:val="false"/>
          <w:bCs w:val="false"/>
          <w:color w:val="000000"/>
          <w:kern w:val="2"/>
          <w:sz w:val="26"/>
          <w:szCs w:val="26"/>
          <w:u w:val="none"/>
          <w:shd w:fill="auto" w:val="clear"/>
          <w:lang w:val="ru-RU" w:eastAsia="ru-RU" w:bidi="hi-IN"/>
        </w:rPr>
        <w:t>Правил</w:t>
      </w:r>
      <w:r>
        <w:rPr>
          <w:rFonts w:eastAsia="Tahoma" w:cs="Times New Roman" w:ascii="Times New Roman" w:hAnsi="Times New Roman"/>
          <w:b w:val="false"/>
          <w:bCs/>
          <w:color w:val="000000"/>
          <w:kern w:val="2"/>
          <w:sz w:val="26"/>
          <w:szCs w:val="26"/>
          <w:u w:val="none"/>
          <w:shd w:fill="auto" w:val="clear"/>
          <w:lang w:val="ru-RU" w:eastAsia="ru-RU" w:bidi="hi-IN"/>
        </w:rPr>
        <w:t xml:space="preserve"> по обеспечению безопасности и антитеррористической защищенности объектов </w:t>
      </w:r>
      <w:r>
        <w:rPr>
          <w:rFonts w:eastAsia="Tahoma" w:cs="Times New Roman" w:ascii="Times New Roman" w:hAnsi="Times New Roman"/>
          <w:b w:val="false"/>
          <w:bCs/>
          <w:color w:val="000000"/>
          <w:kern w:val="2"/>
          <w:sz w:val="26"/>
          <w:szCs w:val="26"/>
          <w:u w:val="none"/>
          <w:shd w:fill="auto" w:val="clear"/>
          <w:lang w:val="ru-RU" w:eastAsia="ru-RU" w:bidi="hi-IN"/>
        </w:rPr>
        <w:t>ТЭК</w:t>
      </w:r>
      <w:r>
        <w:rPr>
          <w:rFonts w:eastAsia="Tahoma" w:cs="Times New Roman" w:ascii="Times New Roman" w:hAnsi="Times New Roman"/>
          <w:b w:val="false"/>
          <w:bCs w:val="false"/>
          <w:color w:val="000000"/>
          <w:kern w:val="2"/>
          <w:sz w:val="26"/>
          <w:szCs w:val="26"/>
          <w:u w:val="none"/>
          <w:shd w:fill="auto" w:val="clear"/>
          <w:lang w:val="ru-RU" w:eastAsia="ru-RU" w:bidi="hi-IN"/>
        </w:rPr>
        <w:t xml:space="preserve">, утвержденных </w:t>
      </w:r>
      <w:r>
        <w:rPr>
          <w:rFonts w:eastAsia="Tahoma" w:cs="Times New Roman" w:ascii="Times New Roman" w:hAnsi="Times New Roman"/>
          <w:b w:val="false"/>
          <w:bCs/>
          <w:color w:val="000000"/>
          <w:kern w:val="2"/>
          <w:sz w:val="26"/>
          <w:szCs w:val="26"/>
          <w:u w:val="none"/>
          <w:shd w:fill="auto" w:val="clear"/>
          <w:lang w:val="ru-RU" w:eastAsia="ru-RU" w:bidi="hi-IN"/>
        </w:rPr>
        <w:t>постановлением Правительства РФ от 5 мая 2012 г. № 458дсп</w:t>
      </w:r>
      <w:r>
        <w:rPr>
          <w:rStyle w:val="Style18"/>
          <w:rFonts w:eastAsia="Tahoma" w:cs="Times New Roman" w:ascii="Times New Roman" w:hAnsi="Times New Roman"/>
          <w:b w:val="false"/>
          <w:bCs/>
          <w:color w:val="000000"/>
          <w:kern w:val="2"/>
          <w:sz w:val="26"/>
          <w:szCs w:val="26"/>
          <w:u w:val="none"/>
          <w:shd w:fill="auto" w:val="clear"/>
          <w:lang w:val="ru-RU" w:eastAsia="ru-RU" w:bidi="hi-IN"/>
        </w:rPr>
        <w:t>,</w:t>
      </w:r>
      <w:r>
        <w:rPr>
          <w:rFonts w:eastAsia="Calibri" w:cs="Times New Roman" w:ascii="Times New Roman" w:hAnsi="Times New Roman"/>
          <w:b w:val="false"/>
          <w:spacing w:val="-2"/>
          <w:sz w:val="26"/>
          <w:szCs w:val="26"/>
          <w:u w:val="none"/>
          <w:shd w:fill="auto" w:val="clear"/>
        </w:rPr>
        <w:t xml:space="preserve"> </w:t>
      </w:r>
      <w:r>
        <w:rPr>
          <w:rFonts w:eastAsia="Calibri" w:cs="Times New Roman" w:ascii="Times New Roman" w:hAnsi="Times New Roman" w:eastAsiaTheme="minorHAnsi"/>
          <w:b w:val="false"/>
          <w:bCs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 xml:space="preserve">и 3 </w:t>
      </w:r>
      <w:r>
        <w:rPr>
          <w:rFonts w:eastAsia="Calibri" w:cs="Times New Roman" w:ascii="Times New Roman" w:hAnsi="Times New Roman"/>
          <w:b w:val="false"/>
          <w:bCs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факта н</w:t>
      </w:r>
      <w:r>
        <w:rPr>
          <w:rStyle w:val="Style22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4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евыполнения в установленный срок ранее выданных предписаний об устранении выявленных нарушений</w:t>
      </w:r>
      <w:r>
        <w:rPr>
          <w:rFonts w:eastAsia="Calibri" w:cs="Times New Roman" w:ascii="Times New Roman" w:hAnsi="Times New Roman" w:eastAsiaTheme="minorHAnsi"/>
          <w:b w:val="false"/>
          <w:bCs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 xml:space="preserve">. </w:t>
      </w:r>
    </w:p>
    <w:p>
      <w:pPr>
        <w:pStyle w:val="Style28"/>
        <w:ind w:firstLine="709"/>
        <w:jc w:val="both"/>
        <w:rPr/>
      </w:pPr>
      <w:r>
        <w:rPr>
          <w:rFonts w:cs="Times New Roman" w:ascii="Times New Roman" w:hAnsi="Times New Roman"/>
          <w:b w:val="false"/>
          <w:bCs w:val="false"/>
          <w:sz w:val="26"/>
          <w:szCs w:val="26"/>
          <w:u w:val="none"/>
          <w:shd w:fill="auto" w:val="clear"/>
        </w:rPr>
        <w:t>В отношении виновных юридических и должностных лиц с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оставлено 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13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протоколов об административных правонарушениях, из них: (</w:t>
      </w:r>
      <w:r>
        <w:rPr>
          <w:rFonts w:eastAsia="Calibri" w:cs="Times New Roman" w:ascii="Times New Roman" w:hAnsi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8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– по части 1 статьи 20.30 КоАП РФ</w:t>
      </w:r>
      <w:r>
        <w:rPr>
          <w:rFonts w:eastAsia="Calibri"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; </w:t>
      </w:r>
      <w:r>
        <w:rPr>
          <w:rFonts w:eastAsia="Calibri" w:cs="Times New Roman" w:ascii="Times New Roman" w:hAnsi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2</w:t>
      </w:r>
      <w:r>
        <w:rPr>
          <w:rFonts w:eastAsia="Calibri"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– </w:t>
      </w:r>
      <w:r>
        <w:rPr>
          <w:rStyle w:val="FontStyle11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 xml:space="preserve">по части 2 статьи 20.30 КоАП РФ; 3 – </w:t>
      </w:r>
      <w:r>
        <w:rPr>
          <w:rStyle w:val="Style16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>по части 36 статьи 19.5 КоАП РФ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.</w:t>
      </w:r>
    </w:p>
    <w:p>
      <w:pPr>
        <w:pStyle w:val="Style28"/>
        <w:ind w:firstLine="709"/>
        <w:jc w:val="both"/>
        <w:rPr>
          <w:rFonts w:ascii="Times New Roman" w:hAnsi="Times New Roman"/>
          <w:shd w:fill="auto" w:val="clear"/>
        </w:rPr>
      </w:pP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Выдано 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15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предписаний об устранении выявленных нарушений, из которых 3 выданы субъектам ТЭК повторно. </w:t>
      </w:r>
    </w:p>
    <w:p>
      <w:pPr>
        <w:pStyle w:val="ConsPlusNormal"/>
        <w:ind w:firstLine="709"/>
        <w:jc w:val="both"/>
        <w:rPr/>
      </w:pPr>
      <w:r>
        <w:rPr>
          <w:sz w:val="26"/>
          <w:szCs w:val="26"/>
          <w:shd w:fill="auto" w:val="clear"/>
        </w:rPr>
        <w:t xml:space="preserve">В ходе осуществления мероприятий по контролю за деятельностью </w:t>
      </w:r>
      <w:r>
        <w:rPr>
          <w:rFonts w:eastAsia="Times New Roman"/>
          <w:sz w:val="26"/>
          <w:szCs w:val="26"/>
          <w:shd w:fill="auto" w:val="clear"/>
        </w:rPr>
        <w:t>подразделений охраны установлено</w:t>
      </w:r>
      <w:r>
        <w:rPr>
          <w:sz w:val="26"/>
          <w:szCs w:val="26"/>
          <w:shd w:fill="auto" w:val="clear"/>
        </w:rPr>
        <w:t xml:space="preserve"> </w:t>
      </w:r>
      <w:r>
        <w:rPr>
          <w:rFonts w:cs="Times New Roman"/>
          <w:color w:val="000000"/>
          <w:sz w:val="26"/>
          <w:szCs w:val="26"/>
          <w:shd w:fill="auto" w:val="clear"/>
        </w:rPr>
        <w:t>2 факта н</w:t>
      </w:r>
      <w:r>
        <w:rPr>
          <w:rStyle w:val="Style22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4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евыполнения в установленный срок законного предписания</w:t>
      </w:r>
      <w:r>
        <w:rPr>
          <w:rFonts w:eastAsia="Calibri" w:eastAsiaTheme="minorHAnsi"/>
          <w:sz w:val="26"/>
          <w:szCs w:val="26"/>
          <w:shd w:fill="auto" w:val="clear"/>
        </w:rPr>
        <w:t>.</w:t>
      </w:r>
    </w:p>
    <w:p>
      <w:pPr>
        <w:pStyle w:val="ConsPlusNormal"/>
        <w:ind w:firstLine="709"/>
        <w:jc w:val="both"/>
        <w:rPr/>
      </w:pPr>
      <w:r>
        <w:rPr>
          <w:rFonts w:cs="Times New Roman"/>
          <w:b w:val="false"/>
          <w:bCs w:val="false"/>
          <w:sz w:val="26"/>
          <w:szCs w:val="26"/>
          <w:u w:val="none"/>
          <w:shd w:fill="auto" w:val="clear"/>
        </w:rPr>
        <w:t>В отношении должностных лиц с</w:t>
      </w:r>
      <w:r>
        <w:rPr>
          <w:rFonts w:cs="Times New Roman"/>
          <w:b w:val="false"/>
          <w:sz w:val="26"/>
          <w:szCs w:val="26"/>
          <w:u w:val="none"/>
          <w:shd w:fill="auto" w:val="clear"/>
        </w:rPr>
        <w:t xml:space="preserve">оставлено </w:t>
      </w:r>
      <w:r>
        <w:rPr>
          <w:rFonts w:eastAsia="Calibri" w:cs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2</w:t>
      </w:r>
      <w:r>
        <w:rPr>
          <w:rFonts w:cs="Times New Roman"/>
          <w:b w:val="false"/>
          <w:sz w:val="26"/>
          <w:szCs w:val="26"/>
          <w:u w:val="none"/>
          <w:shd w:fill="auto" w:val="clear"/>
        </w:rPr>
        <w:t xml:space="preserve"> протокола об административных правонарушениях</w:t>
      </w:r>
      <w:r>
        <w:rPr>
          <w:rStyle w:val="FontStyle11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 xml:space="preserve"> </w:t>
      </w:r>
      <w:r>
        <w:rPr>
          <w:rStyle w:val="Style16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>по части 36 статьи 19.5 КоАП РФ.</w:t>
      </w:r>
    </w:p>
    <w:p>
      <w:pPr>
        <w:pStyle w:val="ConsPlusNormal"/>
        <w:ind w:firstLine="709"/>
        <w:jc w:val="both"/>
        <w:rPr>
          <w:rFonts w:ascii="Times New Roman" w:hAnsi="Times New Roman"/>
          <w:shd w:fill="auto" w:val="clear"/>
        </w:rPr>
      </w:pPr>
      <w:r>
        <w:rPr>
          <w:rFonts w:cs="Times New Roman"/>
          <w:b w:val="false"/>
          <w:sz w:val="26"/>
          <w:szCs w:val="26"/>
          <w:u w:val="none"/>
          <w:shd w:fill="auto" w:val="clear"/>
        </w:rPr>
        <w:t xml:space="preserve">Вынесено 1 предостережение о недопустимости нарушений законодательства РФ в области </w:t>
      </w:r>
      <w:r>
        <w:rPr>
          <w:rFonts w:eastAsia="Calibri" w:cs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обеспечения охранной деятельности</w:t>
      </w:r>
      <w:r>
        <w:rPr>
          <w:rFonts w:cs="Times New Roman"/>
          <w:b w:val="false"/>
          <w:sz w:val="26"/>
          <w:szCs w:val="26"/>
          <w:u w:val="none"/>
          <w:shd w:fill="auto" w:val="clear"/>
        </w:rPr>
        <w:t>.</w:t>
      </w:r>
    </w:p>
    <w:p>
      <w:pPr>
        <w:pStyle w:val="ConsPlusNormal"/>
        <w:ind w:firstLine="709"/>
        <w:jc w:val="both"/>
        <w:rPr>
          <w:rFonts w:ascii="Times New Roman" w:hAnsi="Times New Roman"/>
          <w:shd w:fill="auto" w:val="clear"/>
        </w:rPr>
      </w:pPr>
      <w:r>
        <w:rPr>
          <w:sz w:val="26"/>
          <w:szCs w:val="26"/>
          <w:shd w:fill="auto" w:val="clear"/>
        </w:rPr>
        <w:t>Анализ проведенных контрольных надзорных мероприятий свидетельствует, что основными нарушениями являются: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1134" w:leader="none"/>
        </w:tabs>
        <w:ind w:left="0" w:firstLine="709"/>
        <w:jc w:val="both"/>
        <w:rPr>
          <w:rFonts w:ascii="Times New Roman" w:hAnsi="Times New Roman"/>
          <w:shd w:fill="auto" w:val="clear"/>
        </w:rPr>
      </w:pPr>
      <w:r>
        <w:rPr>
          <w:spacing w:val="-4"/>
          <w:sz w:val="26"/>
          <w:szCs w:val="26"/>
          <w:u w:val="single"/>
          <w:shd w:fill="auto" w:val="clear"/>
        </w:rPr>
        <w:t xml:space="preserve">Для подразделений охраны юридических лиц с особыми уставными задачами и подразделений ведомственной охраны: 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  <w:shd w:fill="auto" w:val="clear"/>
        </w:rPr>
      </w:pPr>
      <w:r>
        <w:rPr>
          <w:rFonts w:ascii="Times New Roman" w:hAnsi="Times New Roman"/>
          <w:spacing w:val="-4"/>
          <w:sz w:val="26"/>
          <w:szCs w:val="26"/>
          <w:shd w:fill="auto" w:val="clear"/>
        </w:rPr>
        <w:t>нарушение обязательных требований в области оборота оружия (</w:t>
      </w:r>
      <w:r>
        <w:rPr>
          <w:rFonts w:ascii="Times New Roman" w:hAnsi="Times New Roman"/>
          <w:sz w:val="26"/>
          <w:szCs w:val="26"/>
          <w:shd w:fill="auto" w:val="clear"/>
        </w:rPr>
        <w:t xml:space="preserve">нарушение условий хранения оружия; нахождение в комнатах хранения оружия подконтрольных субъектов сверх установленных норм положенности боевого (служебного) ручного стрелкового оружия; закрепление оружия за категорией должностей, не предусмотренных нормами положенности оружия; отсутствие в подразделениях охраны специальных средств, предусмотренных утвержденным </w:t>
      </w:r>
      <w:r>
        <w:rPr>
          <w:rFonts w:ascii="Times New Roman" w:hAnsi="Times New Roman"/>
          <w:iCs/>
          <w:sz w:val="26"/>
          <w:szCs w:val="26"/>
          <w:shd w:fill="auto" w:val="clear"/>
        </w:rPr>
        <w:t>Перечнем)</w:t>
      </w:r>
      <w:r>
        <w:rPr>
          <w:rFonts w:ascii="Times New Roman" w:hAnsi="Times New Roman"/>
          <w:spacing w:val="-4"/>
          <w:sz w:val="26"/>
          <w:szCs w:val="26"/>
          <w:shd w:fill="auto" w:val="clear"/>
        </w:rPr>
        <w:t xml:space="preserve">; 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  <w:shd w:fill="auto" w:val="clear"/>
        </w:rPr>
      </w:pPr>
      <w:r>
        <w:rPr>
          <w:rFonts w:ascii="Times New Roman" w:hAnsi="Times New Roman"/>
          <w:spacing w:val="-4"/>
          <w:sz w:val="26"/>
          <w:szCs w:val="26"/>
          <w:shd w:fill="auto" w:val="clear"/>
        </w:rPr>
        <w:t>нарушение обязательных требований в сфере организации и осуществления охранной деятельности (</w:t>
      </w:r>
      <w:r>
        <w:rPr>
          <w:rFonts w:ascii="Times New Roman" w:hAnsi="Times New Roman"/>
          <w:sz w:val="26"/>
          <w:szCs w:val="26"/>
          <w:shd w:fill="auto" w:val="clear"/>
        </w:rPr>
        <w:t>нарушение сроков прохождения работниками подразделений охраны медицинских осмотров и периодических проверок на пригодность к действиям в условиях, связанных с применением оружия и специальных средств);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  <w:t>невыполнение в установленный срок законного предписания органа, осуществляющего государственный надзор (контроль), об устранении нарушений законодательства.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1134" w:leader="none"/>
        </w:tabs>
        <w:ind w:left="0" w:firstLine="709"/>
        <w:jc w:val="both"/>
        <w:rPr>
          <w:rFonts w:ascii="Times New Roman" w:hAnsi="Times New Roman"/>
          <w:shd w:fill="auto" w:val="clear"/>
        </w:rPr>
      </w:pPr>
      <w:r>
        <w:rPr>
          <w:sz w:val="26"/>
          <w:szCs w:val="26"/>
          <w:u w:val="single"/>
          <w:shd w:fill="auto" w:val="clear"/>
        </w:rPr>
        <w:t xml:space="preserve">Для объектов ТЭК: 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  <w:t>нарушение обязательных требований, предъявляемых к: физической охране и инженерно-техническим средствам защиты объекта ТЭК; специальным техническим средствам досмотра; системам охранной сигнализации, сбора и обработки информации, оперативной связи, контроля и управления доступом, охранно-телевизионной, охранного освещения, электропитания;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  <w:t>невыполнение в установленный срок законного предписания органа, осуществляющего государственный надзор (контроль), об устранении нарушений законодательства.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  <w:sz w:val="26"/>
          <w:szCs w:val="26"/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</w:r>
    </w:p>
    <w:p>
      <w:pPr>
        <w:pStyle w:val="Normal"/>
        <w:spacing w:lineRule="auto" w:line="240" w:before="0" w:after="0"/>
        <w:ind w:firstLine="708"/>
        <w:jc w:val="right"/>
        <w:rPr>
          <w:rFonts w:ascii="Times New Roman" w:hAnsi="Times New Roman"/>
          <w:b/>
          <w:b/>
          <w:sz w:val="26"/>
          <w:szCs w:val="26"/>
          <w:shd w:fill="auto" w:val="clear"/>
        </w:rPr>
      </w:pPr>
      <w:r>
        <w:rPr>
          <w:rFonts w:ascii="Times New Roman" w:hAnsi="Times New Roman"/>
          <w:b/>
          <w:sz w:val="26"/>
          <w:szCs w:val="26"/>
          <w:shd w:fill="auto" w:val="clear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hd w:fill="auto" w:val="clear"/>
        </w:rPr>
      </w:pPr>
      <w:r>
        <w:rPr>
          <w:rFonts w:ascii="Times New Roman" w:hAnsi="Times New Roman"/>
          <w:b/>
          <w:sz w:val="26"/>
          <w:szCs w:val="26"/>
          <w:shd w:fill="auto" w:val="clear"/>
        </w:rPr>
        <w:t xml:space="preserve">Отдел государственного контроля 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hd w:fill="auto" w:val="clear"/>
        </w:rPr>
      </w:pPr>
      <w:r>
        <w:rPr>
          <w:rFonts w:ascii="Times New Roman" w:hAnsi="Times New Roman"/>
          <w:b/>
          <w:sz w:val="26"/>
          <w:szCs w:val="26"/>
          <w:shd w:fill="auto" w:val="clear"/>
        </w:rPr>
        <w:t>Управления Росгвардии по Иркутской области</w:t>
      </w:r>
    </w:p>
    <w:sectPr>
      <w:headerReference w:type="default" r:id="rId2"/>
      <w:headerReference w:type="first" r:id="rId3"/>
      <w:type w:val="nextPage"/>
      <w:pgSz w:w="11906" w:h="16838"/>
      <w:pgMar w:left="1701" w:right="1134" w:header="574" w:top="1083" w:footer="0" w:bottom="958" w:gutter="0"/>
      <w:pgNumType w:fmt="decimal"/>
      <w:formProt w:val="false"/>
      <w:titlePg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Cambria">
    <w:charset w:val="01"/>
    <w:family w:val="swiss"/>
    <w:pitch w:val="default"/>
  </w:font>
  <w:font w:name="Times New Roman">
    <w:charset w:val="01"/>
    <w:family w:val="swiss"/>
    <w:pitch w:val="default"/>
  </w:font>
  <w:font w:name="Sylfaen">
    <w:charset w:val="01"/>
    <w:family w:val="swiss"/>
    <w:pitch w:val="default"/>
  </w:font>
  <w:font w:name="Times New Roman CYR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Symbol">
    <w:charset w:val="02"/>
    <w:family w:val="auto"/>
    <w:pitch w:val="default"/>
  </w:font>
  <w:font w:name="Courier New">
    <w:charset w:val="01"/>
    <w:family w:val="auto"/>
    <w:pitch w:val="default"/>
  </w:font>
  <w:font w:name="Wingdings">
    <w:charset w:val="02"/>
    <w:family w:val="auto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2"/>
      <w:spacing w:before="0" w:after="200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2</w: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2"/>
      <w:spacing w:before="0" w:after="200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142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8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b1305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Times New Roman" w:cs="Times New Roman" w:asciiTheme="minorHAnsi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Заголовок Знак"/>
    <w:uiPriority w:val="10"/>
    <w:qFormat/>
    <w:locked/>
    <w:rsid w:val="000d699a"/>
    <w:rPr>
      <w:b/>
      <w:sz w:val="36"/>
      <w:u w:val="single"/>
    </w:rPr>
  </w:style>
  <w:style w:type="character" w:styleId="1" w:customStyle="1">
    <w:name w:val="Название Знак1"/>
    <w:basedOn w:val="DefaultParagraphFont"/>
    <w:uiPriority w:val="10"/>
    <w:qFormat/>
    <w:rsid w:val="000d699a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  <w:lang w:eastAsia="ru-RU"/>
    </w:rPr>
  </w:style>
  <w:style w:type="character" w:styleId="Style15" w:customStyle="1">
    <w:name w:val="Текст сноски Знак"/>
    <w:basedOn w:val="DefaultParagraphFont"/>
    <w:uiPriority w:val="99"/>
    <w:semiHidden/>
    <w:qFormat/>
    <w:rsid w:val="00ae6e0a"/>
    <w:rPr>
      <w:rFonts w:ascii="Calibri" w:hAnsi="Calibri" w:eastAsia="Times New Roman" w:cs="Times New Roman"/>
      <w:sz w:val="20"/>
      <w:szCs w:val="20"/>
      <w:lang w:eastAsia="ru-RU"/>
    </w:rPr>
  </w:style>
  <w:style w:type="character" w:styleId="Style16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basedOn w:val="DefaultParagraphFont"/>
    <w:uiPriority w:val="99"/>
    <w:semiHidden/>
    <w:unhideWhenUsed/>
    <w:qFormat/>
    <w:rsid w:val="00ae6e0a"/>
    <w:rPr>
      <w:vertAlign w:val="superscript"/>
    </w:rPr>
  </w:style>
  <w:style w:type="character" w:styleId="FontStyle109" w:customStyle="1">
    <w:name w:val="Font Style109"/>
    <w:basedOn w:val="DefaultParagraphFont"/>
    <w:uiPriority w:val="99"/>
    <w:qFormat/>
    <w:rsid w:val="002f0e2a"/>
    <w:rPr>
      <w:rFonts w:ascii="Times New Roman" w:hAnsi="Times New Roman" w:cs="Times New Roman"/>
      <w:sz w:val="26"/>
      <w:szCs w:val="26"/>
    </w:rPr>
  </w:style>
  <w:style w:type="character" w:styleId="FontStyle114" w:customStyle="1">
    <w:name w:val="Font Style114"/>
    <w:basedOn w:val="DefaultParagraphFont"/>
    <w:uiPriority w:val="99"/>
    <w:qFormat/>
    <w:rsid w:val="002f0e2a"/>
    <w:rPr>
      <w:rFonts w:ascii="Times New Roman" w:hAnsi="Times New Roman" w:cs="Times New Roman"/>
      <w:b/>
      <w:bCs/>
      <w:sz w:val="26"/>
      <w:szCs w:val="26"/>
    </w:rPr>
  </w:style>
  <w:style w:type="character" w:styleId="FontStyle116" w:customStyle="1">
    <w:name w:val="Font Style116"/>
    <w:basedOn w:val="DefaultParagraphFont"/>
    <w:uiPriority w:val="99"/>
    <w:qFormat/>
    <w:rsid w:val="002f0e2a"/>
    <w:rPr>
      <w:rFonts w:ascii="Sylfaen" w:hAnsi="Sylfaen" w:cs="Sylfaen"/>
      <w:spacing w:val="20"/>
      <w:sz w:val="18"/>
      <w:szCs w:val="18"/>
    </w:rPr>
  </w:style>
  <w:style w:type="character" w:styleId="Style17" w:customStyle="1">
    <w:name w:val="Основной текст_"/>
    <w:basedOn w:val="DefaultParagraphFont"/>
    <w:link w:val="4"/>
    <w:uiPriority w:val="99"/>
    <w:qFormat/>
    <w:locked/>
    <w:rsid w:val="002f0e2a"/>
    <w:rPr>
      <w:rFonts w:ascii="Times New Roman" w:hAnsi="Times New Roman" w:cs="Times New Roman"/>
      <w:sz w:val="27"/>
      <w:szCs w:val="27"/>
      <w:shd w:fill="FFFFFF" w:val="clear"/>
    </w:rPr>
  </w:style>
  <w:style w:type="character" w:styleId="23pt" w:customStyle="1">
    <w:name w:val="Основной текст (2) + Интервал 3 pt"/>
    <w:basedOn w:val="DefaultParagraphFont"/>
    <w:uiPriority w:val="99"/>
    <w:qFormat/>
    <w:rsid w:val="002f0e2a"/>
    <w:rPr>
      <w:rFonts w:ascii="Times New Roman" w:hAnsi="Times New Roman" w:cs="Times New Roman"/>
      <w:b/>
      <w:bCs/>
      <w:color w:val="000000"/>
      <w:spacing w:val="70"/>
      <w:w w:val="100"/>
      <w:sz w:val="27"/>
      <w:szCs w:val="27"/>
      <w:u w:val="none"/>
      <w:lang w:val="ru-RU"/>
    </w:rPr>
  </w:style>
  <w:style w:type="character" w:styleId="Style18" w:customStyle="1">
    <w:name w:val="Символ сноски"/>
    <w:qFormat/>
    <w:rPr/>
  </w:style>
  <w:style w:type="character" w:styleId="Style19" w:customStyle="1">
    <w:name w:val="Интернет-ссылка"/>
    <w:rPr>
      <w:color w:val="000080"/>
      <w:u w:val="single"/>
    </w:rPr>
  </w:style>
  <w:style w:type="character" w:styleId="Style20" w:customStyle="1">
    <w:name w:val="Привязка концевой сноски"/>
    <w:rPr>
      <w:vertAlign w:val="superscript"/>
    </w:rPr>
  </w:style>
  <w:style w:type="character" w:styleId="Style21" w:customStyle="1">
    <w:name w:val="Символ концевой сноски"/>
    <w:qFormat/>
    <w:rPr/>
  </w:style>
  <w:style w:type="character" w:styleId="FontStyle11">
    <w:name w:val="Font Style11"/>
    <w:qFormat/>
    <w:rPr>
      <w:rFonts w:ascii="Times New Roman" w:hAnsi="Times New Roman" w:cs="Times New Roman"/>
      <w:sz w:val="26"/>
      <w:szCs w:val="26"/>
    </w:rPr>
  </w:style>
  <w:style w:type="character" w:styleId="Style22">
    <w:name w:val="Цветовое выделение для Текст"/>
    <w:qFormat/>
    <w:rPr>
      <w:rFonts w:ascii="Times New Roman CYR" w:hAnsi="Times New Roman CYR" w:cs="Times New Roman CYR"/>
      <w:sz w:val="24"/>
    </w:rPr>
  </w:style>
  <w:style w:type="paragraph" w:styleId="Style23">
    <w:name w:val="Заголовок"/>
    <w:basedOn w:val="Normal"/>
    <w:next w:val="Style24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4">
    <w:name w:val="Body Text"/>
    <w:basedOn w:val="Normal"/>
    <w:pPr>
      <w:spacing w:before="0" w:after="140"/>
    </w:pPr>
    <w:rPr/>
  </w:style>
  <w:style w:type="paragraph" w:styleId="Style25">
    <w:name w:val="List"/>
    <w:basedOn w:val="Style24"/>
    <w:pPr/>
    <w:rPr>
      <w:rFonts w:cs="Noto Sans Devanagari"/>
    </w:rPr>
  </w:style>
  <w:style w:type="paragraph" w:styleId="Style26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7">
    <w:name w:val="Указатель"/>
    <w:basedOn w:val="Normal"/>
    <w:qFormat/>
    <w:pPr>
      <w:suppressLineNumbers/>
    </w:pPr>
    <w:rPr>
      <w:rFonts w:cs="Noto Sans Devanagari"/>
    </w:rPr>
  </w:style>
  <w:style w:type="paragraph" w:styleId="Style28">
    <w:name w:val="Title"/>
    <w:basedOn w:val="Normal"/>
    <w:next w:val="Style24"/>
    <w:uiPriority w:val="10"/>
    <w:qFormat/>
    <w:rsid w:val="000d699a"/>
    <w:pPr>
      <w:spacing w:lineRule="auto" w:line="240" w:before="0" w:after="0"/>
      <w:jc w:val="center"/>
    </w:pPr>
    <w:rPr>
      <w:rFonts w:eastAsia="Calibri" w:cs="" w:cstheme="minorBidi" w:eastAsiaTheme="minorHAnsi"/>
      <w:b/>
      <w:sz w:val="36"/>
      <w:u w:val="single"/>
      <w:lang w:eastAsia="en-U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ConsPlusNormal" w:customStyle="1">
    <w:name w:val="ConsPlusNormal"/>
    <w:qFormat/>
    <w:rsid w:val="00ab1305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Calibri" w:cs="Times New Roman" w:eastAsiaTheme="minorHAnsi"/>
      <w:color w:val="auto"/>
      <w:kern w:val="0"/>
      <w:sz w:val="24"/>
      <w:szCs w:val="24"/>
      <w:lang w:val="ru-RU" w:eastAsia="en-US" w:bidi="ar-SA"/>
    </w:rPr>
  </w:style>
  <w:style w:type="paragraph" w:styleId="Style29">
    <w:name w:val="Footnote Text"/>
    <w:basedOn w:val="Normal"/>
    <w:uiPriority w:val="99"/>
    <w:semiHidden/>
    <w:unhideWhenUsed/>
    <w:rsid w:val="00ae6e0a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607091"/>
    <w:pPr>
      <w:widowControl w:val="false"/>
      <w:spacing w:lineRule="auto" w:line="240" w:before="0" w:after="0"/>
      <w:ind w:left="708" w:hanging="0"/>
    </w:pPr>
    <w:rPr>
      <w:rFonts w:ascii="Times New Roman" w:hAnsi="Times New Roman"/>
      <w:sz w:val="20"/>
      <w:szCs w:val="20"/>
    </w:rPr>
  </w:style>
  <w:style w:type="paragraph" w:styleId="Style31" w:customStyle="1">
    <w:name w:val="Style3"/>
    <w:basedOn w:val="Normal"/>
    <w:uiPriority w:val="99"/>
    <w:qFormat/>
    <w:rsid w:val="002f0e2a"/>
    <w:pPr>
      <w:widowControl w:val="false"/>
      <w:spacing w:lineRule="exact" w:line="324" w:before="0" w:after="0"/>
      <w:jc w:val="both"/>
    </w:pPr>
    <w:rPr>
      <w:rFonts w:ascii="Times New Roman" w:hAnsi="Times New Roman" w:eastAsia="" w:eastAsiaTheme="minorEastAsia"/>
      <w:sz w:val="24"/>
      <w:szCs w:val="24"/>
    </w:rPr>
  </w:style>
  <w:style w:type="paragraph" w:styleId="Style251" w:customStyle="1">
    <w:name w:val="Style25"/>
    <w:basedOn w:val="Normal"/>
    <w:uiPriority w:val="99"/>
    <w:qFormat/>
    <w:rsid w:val="002f0e2a"/>
    <w:pPr>
      <w:widowControl w:val="false"/>
      <w:spacing w:lineRule="exact" w:line="322" w:before="0" w:after="0"/>
      <w:jc w:val="both"/>
    </w:pPr>
    <w:rPr>
      <w:rFonts w:ascii="Times New Roman" w:hAnsi="Times New Roman" w:eastAsia="" w:eastAsiaTheme="minorEastAsia"/>
      <w:sz w:val="24"/>
      <w:szCs w:val="24"/>
    </w:rPr>
  </w:style>
  <w:style w:type="paragraph" w:styleId="Style291" w:customStyle="1">
    <w:name w:val="Style29"/>
    <w:basedOn w:val="Normal"/>
    <w:uiPriority w:val="99"/>
    <w:qFormat/>
    <w:rsid w:val="002f0e2a"/>
    <w:pPr>
      <w:widowControl w:val="false"/>
      <w:spacing w:lineRule="auto" w:line="240" w:before="0" w:after="0"/>
    </w:pPr>
    <w:rPr>
      <w:rFonts w:ascii="Times New Roman" w:hAnsi="Times New Roman" w:eastAsia="" w:eastAsiaTheme="minorEastAsia"/>
      <w:sz w:val="24"/>
      <w:szCs w:val="24"/>
    </w:rPr>
  </w:style>
  <w:style w:type="paragraph" w:styleId="4" w:customStyle="1">
    <w:name w:val="Основной текст4"/>
    <w:basedOn w:val="Normal"/>
    <w:link w:val="a6"/>
    <w:uiPriority w:val="99"/>
    <w:qFormat/>
    <w:rsid w:val="002f0e2a"/>
    <w:pPr>
      <w:widowControl w:val="false"/>
      <w:shd w:val="clear" w:color="auto" w:fill="FFFFFF"/>
      <w:spacing w:lineRule="atLeast" w:line="240" w:before="0" w:after="720"/>
      <w:ind w:hanging="1960"/>
      <w:jc w:val="right"/>
    </w:pPr>
    <w:rPr>
      <w:rFonts w:ascii="Times New Roman" w:hAnsi="Times New Roman" w:eastAsia="Calibri" w:eastAsiaTheme="minorHAnsi"/>
      <w:sz w:val="27"/>
      <w:szCs w:val="27"/>
      <w:lang w:eastAsia="en-US"/>
    </w:rPr>
  </w:style>
  <w:style w:type="paragraph" w:styleId="Style30" w:customStyle="1">
    <w:name w:val="Верхний и нижний колонтитулы"/>
    <w:basedOn w:val="Normal"/>
    <w:qFormat/>
    <w:pPr>
      <w:suppressLineNumbers/>
      <w:tabs>
        <w:tab w:val="clear" w:pos="708"/>
        <w:tab w:val="center" w:pos="4535" w:leader="none"/>
        <w:tab w:val="right" w:pos="9071" w:leader="none"/>
      </w:tabs>
    </w:pPr>
    <w:rPr/>
  </w:style>
  <w:style w:type="paragraph" w:styleId="Style32">
    <w:name w:val="Header"/>
    <w:basedOn w:val="Style30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7907DE-1C06-4D16-9C99-2661C4ECC6A4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Application>LibreOffice/7.0.4.2$Linux_X86_64 LibreOffice_project/dcf040e67528d9187c66b2379df5ea4407429775</Application>
  <AppVersion>15.0000</AppVersion>
  <Pages>2</Pages>
  <Words>484</Words>
  <Characters>3640</Characters>
  <CharactersWithSpaces>4120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2024-02-28T09:07:00Z</dcterms:created>
  <dc:creator>user</dc:creator>
  <dc:description/>
  <dc:language>ru-RU</dc:language>
  <cp:lastModifiedBy/>
  <cp:lastPrinted>2022-12-12T10:27:00Z</cp:lastPrinted>
  <dcterms:modified xsi:type="dcterms:W3CDTF">2025-03-03T12:49:07Z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