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Информация 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контроля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подразделений охраны юридических лиц с особыми уставными задачами и подразделений ведомственной охраны, 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</w:rPr>
        <w:t>Иркутской области,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>за 1 полугодие 2023 года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27"/>
        <w:ind w:firstLine="709"/>
        <w:jc w:val="both"/>
        <w:rPr>
          <w:shd w:fill="FFFF00" w:val="clear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В соответствии с Планами Федеральной службы войск национальной гвардии Российской Федерации проведения плановых проверок обеспечения безопасности и антитеррористической защищенности объектов топливно-энергетического комплекса (далее - ТЭК), подразделений охраны юридических лиц с особыми уставными задачами и подразделений ведомственной охраны (далее - подразделения охраны) на 202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год, а также </w:t>
      </w:r>
      <w:r>
        <w:rPr>
          <w:rFonts w:ascii="Times New Roman" w:hAnsi="Times New Roman"/>
          <w:b w:val="false"/>
          <w:sz w:val="26"/>
          <w:szCs w:val="26"/>
          <w:u w:val="none"/>
        </w:rPr>
        <w:t xml:space="preserve">в целях контроля за устранением выявленных нарушений обязательных требований, предъявляемых к объектам ТЭК и подразделениям охраны,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отделом государственного контроля Управления Росгвардии по Иркутской области в течение 1 полугодия 202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года осуществлено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37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проверок, из них: </w:t>
      </w:r>
      <w:r>
        <w:rPr>
          <w:rFonts w:eastAsia="Times New Roman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34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 проверки по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обеспечению безопасности объектов ТЭК (</w:t>
      </w:r>
      <w:r>
        <w:rPr>
          <w:rFonts w:cs="Times New Roman" w:ascii="Times New Roman" w:hAnsi="Times New Roman"/>
          <w:b w:val="false"/>
          <w:color w:val="000000"/>
          <w:sz w:val="26"/>
          <w:szCs w:val="26"/>
          <w:u w:val="none"/>
        </w:rPr>
        <w:t>1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4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плановых,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20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внеплановых),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проверки по контролю 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>подразделений охраны (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1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- плановая, </w:t>
      </w:r>
      <w:r>
        <w:rPr>
          <w:rFonts w:eastAsia="Calibri" w:cs="Times New Roman" w:ascii="Times New Roman" w:hAnsi="Times New Roman" w:eastAsiaTheme="minorHAnsi"/>
          <w:b w:val="false"/>
          <w:color w:val="auto"/>
          <w:kern w:val="0"/>
          <w:sz w:val="26"/>
          <w:szCs w:val="26"/>
          <w:u w:val="none"/>
          <w:lang w:val="ru-RU" w:eastAsia="en-US" w:bidi="ar-SA"/>
        </w:rPr>
        <w:t>2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внеплановых).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 </w:t>
      </w:r>
    </w:p>
    <w:p>
      <w:pPr>
        <w:pStyle w:val="Style27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153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нарушения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</w:rPr>
        <w:t>обязательных требований</w:t>
      </w:r>
      <w:r>
        <w:rPr>
          <w:rFonts w:eastAsia="Calibri" w:cs="Times New Roman" w:ascii="Times New Roman" w:hAnsi="Times New Roman"/>
          <w:b w:val="false"/>
          <w:spacing w:val="-2"/>
          <w:sz w:val="26"/>
          <w:szCs w:val="26"/>
          <w:u w:val="none"/>
        </w:rPr>
        <w:t xml:space="preserve">, утвержденных постановлением Правительства Российской Федерации от 05.05.2012 № 458дсп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</w:rPr>
        <w:t xml:space="preserve">«Об утверждении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Правил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</w:rPr>
        <w:t>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FontStyle114"/>
          <w:b/>
          <w:bCs w:val="false"/>
          <w:u w:val="none"/>
        </w:rPr>
        <w:t xml:space="preserve">, </w:t>
      </w:r>
      <w:r>
        <w:rPr>
          <w:rStyle w:val="FontStyle114"/>
          <w:b w:val="false"/>
          <w:bCs w:val="false"/>
          <w:u w:val="none"/>
        </w:rPr>
        <w:t xml:space="preserve">в том числе: </w:t>
      </w:r>
      <w:r>
        <w:rPr>
          <w:rStyle w:val="FontStyle114"/>
          <w:rFonts w:cs="XO Thames"/>
          <w:b w:val="false"/>
          <w:bCs w:val="false"/>
          <w:color w:val="000000"/>
          <w:u w:val="none"/>
        </w:rPr>
        <w:t xml:space="preserve">к построению системы физической защиты - </w:t>
      </w:r>
      <w:r>
        <w:rPr>
          <w:rStyle w:val="FontStyle114"/>
          <w:rFonts w:eastAsia="Calibri" w:cs="XO Thames"/>
          <w:b w:val="false"/>
          <w:bCs w:val="false"/>
          <w:color w:val="000000"/>
          <w:u w:val="none"/>
        </w:rPr>
        <w:t>4</w:t>
      </w:r>
      <w:r>
        <w:rPr>
          <w:rStyle w:val="FontStyle114"/>
          <w:rFonts w:cs="XO Thames"/>
          <w:b w:val="false"/>
          <w:bCs w:val="false"/>
          <w:color w:val="000000"/>
          <w:u w:val="none"/>
        </w:rPr>
        <w:t xml:space="preserve">; инженерно-технических средств охраны - </w:t>
      </w:r>
      <w:r>
        <w:rPr>
          <w:rStyle w:val="FontStyle114"/>
          <w:rFonts w:eastAsia="Calibri" w:cs="XO Thames" w:ascii="Times New Roman" w:hAnsi="Times New Roman"/>
          <w:b w:val="false"/>
          <w:bCs w:val="false"/>
          <w:color w:val="000000"/>
          <w:sz w:val="26"/>
          <w:szCs w:val="26"/>
          <w:u w:val="none"/>
          <w:lang w:eastAsia="zh-CN"/>
        </w:rPr>
        <w:t>147</w:t>
      </w:r>
      <w:r>
        <w:rPr>
          <w:rStyle w:val="FontStyle114"/>
          <w:rFonts w:cs="XO Thames"/>
          <w:b w:val="false"/>
          <w:bCs w:val="false"/>
          <w:color w:val="000000"/>
          <w:u w:val="none"/>
        </w:rPr>
        <w:t xml:space="preserve"> (инженерно-технические средства защиты - </w:t>
      </w:r>
      <w:r>
        <w:rPr>
          <w:rStyle w:val="FontStyle114"/>
          <w:rFonts w:eastAsia="Calibri" w:cs="XO Thames" w:ascii="Times New Roman" w:hAnsi="Times New Roman"/>
          <w:b w:val="false"/>
          <w:bCs w:val="false"/>
          <w:color w:val="000000"/>
          <w:sz w:val="26"/>
          <w:szCs w:val="26"/>
          <w:u w:val="none"/>
          <w:lang w:eastAsia="zh-CN"/>
        </w:rPr>
        <w:t>96</w:t>
      </w:r>
      <w:r>
        <w:rPr>
          <w:rStyle w:val="FontStyle114"/>
          <w:rFonts w:cs="XO Thames"/>
          <w:b w:val="false"/>
          <w:bCs w:val="false"/>
          <w:color w:val="000000"/>
          <w:u w:val="none"/>
        </w:rPr>
        <w:t>; система охранной</w:t>
        <w:br/>
        <w:t xml:space="preserve">сигнализации - </w:t>
      </w:r>
      <w:r>
        <w:rPr>
          <w:rStyle w:val="FontStyle114"/>
          <w:rFonts w:eastAsia="Calibri" w:cs="XO Thames" w:ascii="Times New Roman" w:hAnsi="Times New Roman"/>
          <w:b w:val="false"/>
          <w:bCs w:val="false"/>
          <w:color w:val="000000"/>
          <w:sz w:val="26"/>
          <w:szCs w:val="26"/>
          <w:u w:val="none"/>
          <w:lang w:eastAsia="en-US"/>
        </w:rPr>
        <w:t>9</w:t>
      </w:r>
      <w:r>
        <w:rPr>
          <w:rStyle w:val="FontStyle114"/>
          <w:rFonts w:cs="XO Thames"/>
          <w:b w:val="false"/>
          <w:bCs w:val="false"/>
          <w:color w:val="000000"/>
          <w:u w:val="none"/>
        </w:rPr>
        <w:t xml:space="preserve">; система сбора и обработки информации - 1; системы контроля и управлением доступа - </w:t>
      </w:r>
      <w:r>
        <w:rPr>
          <w:rStyle w:val="FontStyle114"/>
          <w:rFonts w:eastAsia="Calibri" w:cs="XO Thames" w:ascii="Times New Roman" w:hAnsi="Times New Roman"/>
          <w:b w:val="false"/>
          <w:bCs w:val="false"/>
          <w:color w:val="000000"/>
          <w:sz w:val="26"/>
          <w:szCs w:val="26"/>
          <w:u w:val="none"/>
          <w:lang w:eastAsia="en-US"/>
        </w:rPr>
        <w:t>7</w:t>
      </w:r>
      <w:r>
        <w:rPr>
          <w:rStyle w:val="FontStyle114"/>
          <w:rFonts w:cs="XO Thames"/>
          <w:b w:val="false"/>
          <w:bCs w:val="false"/>
          <w:color w:val="000000"/>
          <w:u w:val="none"/>
        </w:rPr>
        <w:t xml:space="preserve">, система охранно-телевизионная - </w:t>
      </w:r>
      <w:r>
        <w:rPr>
          <w:rStyle w:val="FontStyle114"/>
          <w:rFonts w:eastAsia="Calibri" w:cs="XO Thames" w:ascii="Times New Roman" w:hAnsi="Times New Roman"/>
          <w:b w:val="false"/>
          <w:bCs w:val="false"/>
          <w:color w:val="000000"/>
          <w:sz w:val="26"/>
          <w:szCs w:val="26"/>
          <w:u w:val="none"/>
          <w:lang w:eastAsia="zh-CN"/>
        </w:rPr>
        <w:t>18</w:t>
      </w:r>
      <w:r>
        <w:rPr>
          <w:rStyle w:val="FontStyle114"/>
          <w:rFonts w:cs="XO Thames"/>
          <w:b w:val="false"/>
          <w:bCs w:val="false"/>
          <w:color w:val="000000"/>
          <w:u w:val="none"/>
        </w:rPr>
        <w:t xml:space="preserve">; система охранного освещения - </w:t>
      </w:r>
      <w:r>
        <w:rPr>
          <w:rStyle w:val="FontStyle114"/>
          <w:rFonts w:eastAsia="Calibri" w:cs="XO Thames" w:ascii="Times New Roman" w:hAnsi="Times New Roman"/>
          <w:b w:val="false"/>
          <w:bCs w:val="false"/>
          <w:color w:val="000000"/>
          <w:sz w:val="26"/>
          <w:szCs w:val="26"/>
          <w:u w:val="none"/>
          <w:lang w:eastAsia="en-US"/>
        </w:rPr>
        <w:t>8</w:t>
      </w:r>
      <w:r>
        <w:rPr>
          <w:rStyle w:val="FontStyle114"/>
          <w:rFonts w:eastAsia="Calibri" w:cs="XO Thames"/>
          <w:b w:val="false"/>
          <w:bCs w:val="false"/>
          <w:color w:val="000000"/>
          <w:u w:val="none"/>
        </w:rPr>
        <w:t xml:space="preserve">, система оповещения - 1;  система электропитания - 1) и иные требования предъявляемые к антитеррористической защищенности объектов ТЭК - </w:t>
      </w:r>
      <w:r>
        <w:rPr>
          <w:rStyle w:val="FontStyle114"/>
          <w:rFonts w:eastAsia="Calibri" w:cs="XO Thames"/>
          <w:b w:val="false"/>
          <w:bCs w:val="false"/>
          <w:color w:val="000000"/>
          <w:u w:val="none"/>
        </w:rPr>
        <w:t>4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u w:val="none"/>
        </w:rPr>
        <w:t>. С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оставлено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8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протоколов об административных правонарушениях (7 - по части 1 статьи 20.30 КоАП РФ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</w:rPr>
        <w:t xml:space="preserve">«Нарушение требований обеспечения безопасности и антитеррористической защищенности объектов топливно-энергетического комплекса»; 1 - 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2 статьи 20.30 КоАП РФ «Нарушение требований обеспечения безопасности и антитеррористической защищенности объектов топливно-энергетического комплекса, отнесенных к объектам средней категории опасности»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). Выдано </w:t>
      </w:r>
      <w:r>
        <w:rPr>
          <w:rFonts w:cs="Times New Roman" w:ascii="Times New Roman" w:hAnsi="Times New Roman"/>
          <w:b w:val="false"/>
          <w:color w:val="000000"/>
          <w:sz w:val="26"/>
          <w:szCs w:val="26"/>
          <w:u w:val="none"/>
        </w:rPr>
        <w:t>8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предписаний об устранении выявленных нарушений, вынесено 1 предостережение о недопустимости нарушений законодательства Российской Федерации в области обеспечения безопасности объектов ТЭК.</w:t>
      </w:r>
    </w:p>
    <w:p>
      <w:pPr>
        <w:pStyle w:val="ConsPlusNormal"/>
        <w:ind w:firstLine="709"/>
        <w:jc w:val="both"/>
        <w:rPr/>
      </w:pPr>
      <w:r>
        <w:rPr>
          <w:sz w:val="26"/>
          <w:szCs w:val="26"/>
        </w:rPr>
        <w:t xml:space="preserve">В ходе осуществления мероприятий по контролю за деятельностью </w:t>
      </w:r>
      <w:r>
        <w:rPr>
          <w:rFonts w:eastAsia="Times New Roman"/>
          <w:sz w:val="26"/>
          <w:szCs w:val="26"/>
        </w:rPr>
        <w:t xml:space="preserve">подразделений охраны </w:t>
      </w:r>
      <w:r>
        <w:rPr>
          <w:sz w:val="26"/>
          <w:szCs w:val="26"/>
        </w:rPr>
        <w:t xml:space="preserve">выявлено </w:t>
      </w:r>
      <w:r>
        <w:rPr>
          <w:rFonts w:cs="Times New Roman"/>
          <w:color w:val="000000"/>
          <w:sz w:val="26"/>
          <w:szCs w:val="26"/>
        </w:rPr>
        <w:t>1</w:t>
      </w:r>
      <w:r>
        <w:rPr>
          <w:sz w:val="26"/>
          <w:szCs w:val="26"/>
        </w:rPr>
        <w:t xml:space="preserve"> нарушение обязательного требования, установленного нормативными правовыми актами Российской Федерации при организации и осуществлении охранной деятельности. Выдано </w:t>
      </w:r>
      <w:r>
        <w:rPr>
          <w:rFonts w:cs="Times New Roman"/>
          <w:color w:val="000000"/>
          <w:sz w:val="26"/>
          <w:szCs w:val="26"/>
        </w:rPr>
        <w:t>1</w:t>
      </w:r>
      <w:r>
        <w:rPr>
          <w:sz w:val="26"/>
          <w:szCs w:val="26"/>
        </w:rPr>
        <w:t xml:space="preserve"> предписание об устранении выявленных нарушений законодательства Российской Федерации</w:t>
        <w:br/>
        <w:t>в области осуществления охранной деятельности.</w:t>
      </w:r>
    </w:p>
    <w:p>
      <w:pPr>
        <w:pStyle w:val="ConsPlusNormal"/>
        <w:ind w:firstLine="709"/>
        <w:jc w:val="both"/>
        <w:rPr/>
      </w:pPr>
      <w:r>
        <w:rPr>
          <w:sz w:val="26"/>
          <w:szCs w:val="26"/>
        </w:rPr>
        <w:t>Анализ контрольно-надзорных 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/>
      </w:pPr>
      <w:r>
        <w:rPr>
          <w:spacing w:val="-4"/>
          <w:sz w:val="26"/>
          <w:szCs w:val="26"/>
          <w:u w:val="single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ascii="Times New Roman" w:hAnsi="Times New Roman"/>
          <w:spacing w:val="-4"/>
          <w:sz w:val="26"/>
          <w:szCs w:val="26"/>
        </w:rPr>
        <w:t>нарушение обязательных требований в сфере оборота оружия</w:t>
      </w:r>
      <w:r>
        <w:rPr>
          <w:rFonts w:ascii="Times New Roman" w:hAnsi="Times New Roman"/>
          <w:sz w:val="26"/>
          <w:szCs w:val="26"/>
        </w:rPr>
        <w:t xml:space="preserve"> (нарушение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оружия);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</w:rPr>
        <w:t>Перечнем</w:t>
      </w:r>
      <w:r>
        <w:rPr>
          <w:rFonts w:ascii="Times New Roman" w:hAnsi="Times New Roman"/>
          <w:spacing w:val="-4"/>
          <w:sz w:val="26"/>
          <w:szCs w:val="26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ascii="Times New Roman" w:hAnsi="Times New Roman"/>
          <w:spacing w:val="-4"/>
          <w:sz w:val="26"/>
          <w:szCs w:val="26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ascii="Times New Roman" w:hAnsi="Times New Roman"/>
          <w:sz w:val="26"/>
          <w:szCs w:val="26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/>
      </w:pPr>
      <w:r>
        <w:rPr>
          <w:sz w:val="26"/>
          <w:szCs w:val="26"/>
          <w:u w:val="single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ascii="Times New Roman" w:hAnsi="Times New Roman"/>
          <w:spacing w:val="-4"/>
          <w:sz w:val="26"/>
          <w:szCs w:val="26"/>
        </w:rPr>
        <w:t>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объекта ТЭК акта незаконного вмешательства (</w:t>
      </w:r>
      <w:r>
        <w:rPr>
          <w:rFonts w:ascii="Times New Roman" w:hAnsi="Times New Roman"/>
          <w:sz w:val="26"/>
          <w:szCs w:val="26"/>
        </w:rPr>
        <w:t>нарушение требований, предъявляемых к: физической охране и инженерно-техническим средствам защиты объекта ТЭК; специально техническим средствам досмотра; системам: охранной сигнализации; сбора и обработки информации; оперативной связи; контроля и управления доступом; охранно-телевизионным; охранного освещения; электропитания);</w:t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ascii="Times New Roman" w:hAnsi="Times New Roman"/>
          <w:sz w:val="26"/>
          <w:szCs w:val="26"/>
        </w:rPr>
        <w:t xml:space="preserve">невыполнение в установленный срок законного предписания органа, осуществляющего государственный надзор (контроль), об устранении нарушений обязательных требований </w:t>
      </w:r>
      <w:r>
        <w:rPr>
          <w:rFonts w:ascii="Times New Roman" w:hAnsi="Times New Roman"/>
          <w:bCs/>
          <w:sz w:val="26"/>
          <w:szCs w:val="26"/>
        </w:rPr>
        <w:t>по обеспечению безопасности и антитеррористической защищенности объектов ТЭК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firstLine="708"/>
        <w:jc w:val="right"/>
        <w:rPr>
          <w:rFonts w:ascii="Times New Roman" w:hAnsi="Times New Roman"/>
          <w:b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b/>
          <w:sz w:val="26"/>
          <w:szCs w:val="26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b/>
          <w:sz w:val="26"/>
          <w:szCs w:val="26"/>
        </w:rPr>
        <w:t>Управления Росгвардии по Иркутской области</w:t>
      </w:r>
    </w:p>
    <w:sectPr>
      <w:headerReference w:type="default" r:id="rId2"/>
      <w:headerReference w:type="first" r:id="rId3"/>
      <w:type w:val="nextPage"/>
      <w:pgSz w:w="11906" w:h="16838"/>
      <w:pgMar w:left="1701" w:right="1134" w:header="574" w:top="1083" w:footer="0" w:bottom="958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Sylfae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2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Style16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7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Style18" w:customStyle="1">
    <w:name w:val="Символ сноски"/>
    <w:qFormat/>
    <w:rPr/>
  </w:style>
  <w:style w:type="character" w:styleId="Style19" w:customStyle="1">
    <w:name w:val="Интернет-ссылка"/>
    <w:rPr>
      <w:color w:val="000080"/>
      <w:u w:val="single"/>
    </w:rPr>
  </w:style>
  <w:style w:type="character" w:styleId="Style20" w:customStyle="1">
    <w:name w:val="Привязка концевой сноски"/>
    <w:rPr>
      <w:vertAlign w:val="superscript"/>
    </w:rPr>
  </w:style>
  <w:style w:type="character" w:styleId="Style21" w:customStyle="1">
    <w:name w:val="Символ концевой сноски"/>
    <w:qFormat/>
    <w:rPr/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7">
    <w:name w:val="Title"/>
    <w:basedOn w:val="Normal"/>
    <w:next w:val="Style23"/>
    <w:uiPriority w:val="10"/>
    <w:qFormat/>
    <w:rsid w:val="000d699a"/>
    <w:pPr>
      <w:spacing w:lineRule="auto" w:line="240" w:before="0" w:after="0"/>
      <w:jc w:val="center"/>
    </w:pPr>
    <w:rPr>
      <w:rFonts w:eastAsia="Calibri" w:cs="" w:cstheme="minorBidi" w:eastAsiaTheme="minorHAnsi"/>
      <w:b/>
      <w:sz w:val="36"/>
      <w:u w:val="single"/>
      <w:lang w:eastAsia="en-U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Style28">
    <w:name w:val="Footnote Text"/>
    <w:basedOn w:val="Normal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left="708" w:hanging="0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1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link w:val="a6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right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30" w:customStyle="1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32">
    <w:name w:val="Header"/>
    <w:basedOn w:val="Style30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LibreOffice/7.1.4.2$Linux_X86_64 LibreOffice_project/a529a4fab45b75fefc5b6226684193eb000654f6</Application>
  <AppVersion>15.0000</AppVersion>
  <Pages>2</Pages>
  <Words>580</Words>
  <Characters>4537</Characters>
  <CharactersWithSpaces>5105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2024-02-28T09:07:00Z</dcterms:created>
  <dc:creator>user</dc:creator>
  <dc:description/>
  <dc:language>ru-RU</dc:language>
  <cp:lastModifiedBy/>
  <cp:lastPrinted>2022-12-12T10:27:00Z</cp:lastPrinted>
  <dcterms:modified xsi:type="dcterms:W3CDTF">2024-02-28T17:29:20Z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