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7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 xml:space="preserve">Информация </w:t>
      </w:r>
    </w:p>
    <w:p>
      <w:pPr>
        <w:pStyle w:val="Style27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 xml:space="preserve">о результатах осуществления Управлением Росгвардии по Иркутской области федерального государственного контроля (надзора) за обеспечением безопасности объектов топливно-энергетического комплекса, </w:t>
      </w:r>
      <w:r>
        <w:rPr>
          <w:rFonts w:cs="Times New Roman" w:ascii="Times New Roman" w:hAnsi="Times New Roman"/>
          <w:sz w:val="26"/>
          <w:szCs w:val="26"/>
          <w:u w:val="none"/>
        </w:rPr>
        <w:t>контроля</w:t>
      </w:r>
      <w:r>
        <w:rPr>
          <w:rFonts w:cs="Times New Roman" w:ascii="Times New Roman" w:hAnsi="Times New Roman"/>
          <w:sz w:val="26"/>
          <w:szCs w:val="26"/>
          <w:u w:val="none"/>
        </w:rPr>
        <w:t xml:space="preserve"> за деятельностью </w:t>
      </w:r>
      <w:r>
        <w:rPr>
          <w:rFonts w:eastAsia="Times New Roman" w:cs="Times New Roman" w:ascii="Times New Roman" w:hAnsi="Times New Roman"/>
          <w:sz w:val="26"/>
          <w:szCs w:val="26"/>
          <w:u w:val="none"/>
        </w:rPr>
        <w:t xml:space="preserve">подразделений охраны юридических лиц с особыми уставными задачами </w:t>
      </w:r>
      <w:r>
        <w:rPr>
          <w:rFonts w:eastAsia="Times New Roman" w:cs="Times New Roman" w:ascii="Times New Roman" w:hAnsi="Times New Roman"/>
          <w:sz w:val="26"/>
          <w:szCs w:val="26"/>
          <w:u w:val="none"/>
        </w:rPr>
        <w:t>и</w:t>
      </w:r>
      <w:r>
        <w:rPr>
          <w:rFonts w:eastAsia="Times New Roman" w:cs="Times New Roman" w:ascii="Times New Roman" w:hAnsi="Times New Roman"/>
          <w:sz w:val="26"/>
          <w:szCs w:val="26"/>
          <w:u w:val="none"/>
        </w:rPr>
        <w:t xml:space="preserve"> подразделений ведомственной охраны, </w:t>
      </w:r>
      <w:r>
        <w:rPr>
          <w:rFonts w:eastAsia="Times New Roman" w:cs="Times New Roman" w:ascii="Times New Roman" w:hAnsi="Times New Roman"/>
          <w:sz w:val="26"/>
          <w:szCs w:val="26"/>
          <w:u w:val="none"/>
        </w:rPr>
        <w:t xml:space="preserve">осуществляющих свою деятельность на территории </w:t>
      </w:r>
      <w:r>
        <w:rPr>
          <w:rFonts w:cs="Times New Roman" w:ascii="Times New Roman" w:hAnsi="Times New Roman"/>
          <w:sz w:val="26"/>
          <w:szCs w:val="26"/>
          <w:u w:val="none"/>
        </w:rPr>
        <w:t>Иркутской области,</w:t>
      </w:r>
    </w:p>
    <w:p>
      <w:pPr>
        <w:pStyle w:val="Style27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 xml:space="preserve">за </w:t>
      </w:r>
      <w:r>
        <w:rPr>
          <w:rFonts w:cs="Times New Roman" w:ascii="Times New Roman" w:hAnsi="Times New Roman"/>
          <w:sz w:val="26"/>
          <w:szCs w:val="26"/>
          <w:u w:val="none"/>
        </w:rPr>
        <w:t>2021 год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27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В соответствии с Планами Федеральной службы войск национальной гвардии Российской Федерации проведения плановых проверок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обеспечения безопасности и антитеррористической защищенности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объектов топливно-энергетического комплекса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>(далее - ТЭК)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, подразделений охраны юридических лиц с особыми уставными задачами и подразделений ведомственной охраны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>(далее - подразделения охраны)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на 2021 год, а также </w:t>
      </w:r>
      <w:r>
        <w:rPr>
          <w:rFonts w:ascii="Times New Roman" w:hAnsi="Times New Roman"/>
          <w:b w:val="false"/>
          <w:sz w:val="26"/>
          <w:szCs w:val="26"/>
          <w:u w:val="none"/>
        </w:rPr>
        <w:t xml:space="preserve">в целях контроля за устранением </w:t>
      </w:r>
      <w:r>
        <w:rPr>
          <w:rFonts w:ascii="Times New Roman" w:hAnsi="Times New Roman"/>
          <w:b w:val="false"/>
          <w:sz w:val="26"/>
          <w:szCs w:val="26"/>
          <w:u w:val="none"/>
        </w:rPr>
        <w:t xml:space="preserve">выявленных </w:t>
      </w:r>
      <w:r>
        <w:rPr>
          <w:rFonts w:ascii="Times New Roman" w:hAnsi="Times New Roman"/>
          <w:b w:val="false"/>
          <w:sz w:val="26"/>
          <w:szCs w:val="26"/>
          <w:u w:val="none"/>
        </w:rPr>
        <w:t xml:space="preserve">нарушений </w:t>
      </w:r>
      <w:r>
        <w:rPr>
          <w:rFonts w:ascii="Times New Roman" w:hAnsi="Times New Roman"/>
          <w:b w:val="false"/>
          <w:sz w:val="26"/>
          <w:szCs w:val="26"/>
          <w:u w:val="none"/>
        </w:rPr>
        <w:t xml:space="preserve">обязательных требований, предъявляемых к объектам ТЭК и подразделениям охраны,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отделом государственного контроля Управления Росгвардии по Иркутской области в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течение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>20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lang w:eastAsia="en-US"/>
        </w:rPr>
        <w:t>21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год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>а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осуществлено 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lang w:eastAsia="en-US"/>
        </w:rPr>
        <w:t>65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проверок, из них: 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lang w:eastAsia="en-US"/>
        </w:rPr>
        <w:t>56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</w:rPr>
        <w:t xml:space="preserve"> проверок 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</w:rPr>
        <w:t xml:space="preserve">по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>обеспечени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ю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безопасности объектов ТЭК (34 плановых, 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lang w:eastAsia="en-US"/>
        </w:rPr>
        <w:t>22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внеплановых), 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lang w:eastAsia="en-US"/>
        </w:rPr>
        <w:t>9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проверок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по контролю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за деятельностью 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</w:rPr>
        <w:t xml:space="preserve">подразделений охраны 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</w:rPr>
        <w:t>(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lang w:eastAsia="en-US"/>
        </w:rPr>
        <w:t>6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- плановых, 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lang w:eastAsia="en-US"/>
        </w:rPr>
        <w:t>3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- внеплановых).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</w:rPr>
        <w:t xml:space="preserve"> </w:t>
      </w:r>
    </w:p>
    <w:p>
      <w:pPr>
        <w:pStyle w:val="Style27"/>
        <w:ind w:firstLine="709"/>
        <w:jc w:val="both"/>
        <w:rPr/>
      </w:pP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В ходе осуществления федерального государственного контроля (надзора) за обеспечением безопасности объектов ТЭК выявлено 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lang w:eastAsia="en-US"/>
        </w:rPr>
        <w:t>153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нарушения 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</w:rPr>
        <w:t>обязательных требований</w:t>
      </w:r>
      <w:r>
        <w:rPr>
          <w:rFonts w:eastAsia="Calibri" w:cs="Times New Roman" w:ascii="Times New Roman" w:hAnsi="Times New Roman"/>
          <w:b w:val="false"/>
          <w:spacing w:val="-2"/>
          <w:sz w:val="26"/>
          <w:szCs w:val="26"/>
          <w:u w:val="none"/>
        </w:rPr>
        <w:t xml:space="preserve">, утвержденных постановлением Правительства Российской Федерации от 05.05.2012 № 458дсп </w:t>
      </w:r>
      <w:r>
        <w:rPr>
          <w:rFonts w:cs="Times New Roman" w:ascii="Times New Roman" w:hAnsi="Times New Roman"/>
          <w:b w:val="false"/>
          <w:bCs/>
          <w:sz w:val="26"/>
          <w:szCs w:val="26"/>
          <w:u w:val="none"/>
        </w:rPr>
        <w:t xml:space="preserve">«Об утверждении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Правил </w:t>
      </w:r>
      <w:r>
        <w:rPr>
          <w:rFonts w:cs="Times New Roman" w:ascii="Times New Roman" w:hAnsi="Times New Roman"/>
          <w:b w:val="false"/>
          <w:bCs/>
          <w:sz w:val="26"/>
          <w:szCs w:val="26"/>
          <w:u w:val="none"/>
        </w:rPr>
        <w:t>по обеспечению безопасности и антитеррористической защищенности объектов топливно-энергетического комплекса»</w:t>
      </w:r>
      <w:r>
        <w:rPr>
          <w:rStyle w:val="FontStyle114"/>
          <w:rFonts w:ascii="Times New Roman" w:hAnsi="Times New Roman"/>
          <w:b w:val="false"/>
          <w:bCs w:val="false"/>
          <w:sz w:val="26"/>
          <w:szCs w:val="26"/>
          <w:u w:val="none"/>
        </w:rPr>
        <w:t>, в том числе:</w:t>
      </w:r>
      <w:r>
        <w:rPr>
          <w:rStyle w:val="FontStyle114"/>
          <w:rFonts w:ascii="Times New Roman" w:hAnsi="Times New Roman"/>
          <w:b/>
          <w:sz w:val="26"/>
          <w:szCs w:val="26"/>
          <w:u w:val="none"/>
        </w:rPr>
        <w:t xml:space="preserve"> </w:t>
      </w:r>
      <w:r>
        <w:rPr>
          <w:rStyle w:val="FontStyle114"/>
          <w:rFonts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</w:rPr>
        <w:t>к построению системы физической защиты - 8</w:t>
      </w:r>
      <w:r>
        <w:rPr>
          <w:rStyle w:val="FontStyle114"/>
          <w:rFonts w:cs="XO Thames" w:ascii="Times New Roman" w:hAnsi="Times New Roman"/>
          <w:b/>
          <w:bCs/>
          <w:i w:val="false"/>
          <w:iCs w:val="false"/>
          <w:strike w:val="false"/>
          <w:dstrike w:val="false"/>
          <w:color w:val="000000"/>
          <w:sz w:val="26"/>
          <w:szCs w:val="26"/>
          <w:u w:val="none"/>
        </w:rPr>
        <w:t>;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</w:rPr>
        <w:t xml:space="preserve"> инженерно-технических средств охраны - </w:t>
      </w:r>
      <w:r>
        <w:rPr>
          <w:rStyle w:val="FontStyle114"/>
          <w:rFonts w:eastAsia="Calibri"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lang w:val="ru-RU" w:eastAsia="zh-CN" w:bidi="ar-SA"/>
        </w:rPr>
        <w:t>145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</w:rPr>
        <w:t xml:space="preserve"> (инженерно-технические средства защиты - </w:t>
      </w:r>
      <w:r>
        <w:rPr>
          <w:rStyle w:val="FontStyle114"/>
          <w:rFonts w:eastAsia="Calibri"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lang w:val="ru-RU" w:eastAsia="zh-CN" w:bidi="ar-SA"/>
        </w:rPr>
        <w:t>107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</w:rPr>
        <w:t>; система охранной сигнализации - 1</w:t>
      </w:r>
      <w:r>
        <w:rPr>
          <w:rStyle w:val="FontStyle114"/>
          <w:rFonts w:eastAsia="Calibri"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lang w:val="ru-RU" w:eastAsia="zh-CN" w:bidi="ar-SA"/>
        </w:rPr>
        <w:t>5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</w:rPr>
        <w:t>; специальные технические средства досмотра -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 </w:t>
      </w:r>
      <w:r>
        <w:rPr>
          <w:rStyle w:val="FontStyle114"/>
          <w:rFonts w:eastAsia="Calibri"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zh-CN" w:bidi="ar-SA"/>
        </w:rPr>
        <w:t>9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; система охранно-телевизионная - </w:t>
      </w:r>
      <w:r>
        <w:rPr>
          <w:rStyle w:val="FontStyle114"/>
          <w:rFonts w:eastAsia="Calibri"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lang w:val="ru-RU" w:eastAsia="zh-CN" w:bidi="ar-SA"/>
        </w:rPr>
        <w:t>6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</w:rPr>
        <w:t>; система охранного освещения - 5; сист</w:t>
      </w:r>
      <w:r>
        <w:rPr>
          <w:rStyle w:val="FontStyle114"/>
          <w:rFonts w:eastAsia="Calibri"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lang w:val="ru-RU" w:eastAsia="zh-CN" w:bidi="ar-SA"/>
        </w:rPr>
        <w:t>ема контроля и управления доступом -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</w:rPr>
        <w:t xml:space="preserve"> </w:t>
      </w:r>
      <w:r>
        <w:rPr>
          <w:rStyle w:val="FontStyle114"/>
          <w:rFonts w:eastAsia="Calibri"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lang w:val="ru-RU" w:eastAsia="zh-CN" w:bidi="ar-SA"/>
        </w:rPr>
        <w:t>3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</w:rPr>
        <w:t>)</w:t>
      </w:r>
      <w:r>
        <w:rPr>
          <w:rFonts w:ascii="Times New Roman" w:hAnsi="Times New Roman"/>
          <w:b w:val="false"/>
          <w:sz w:val="26"/>
          <w:szCs w:val="26"/>
          <w:u w:val="none"/>
        </w:rPr>
        <w:t xml:space="preserve">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и 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lang w:eastAsia="en-US"/>
        </w:rPr>
        <w:t>9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фактов неисполнения ранее выданных предписаний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>об устранении нарушений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. Составлено 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lang w:eastAsia="en-US"/>
        </w:rPr>
        <w:t>19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протоколов об административных правонарушениях (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9 -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по части 1 и 36 статьи 19.5 КоАП РФ «Невыполнение в установленный срок законного предписания органа, осуществляющего государственный надзор (контроль), об устранении нарушений законодательства»;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10 -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по части 1 и 2 статьи 20.30 КоАП РФ 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</w:rPr>
        <w:t>«Нарушение требований обеспечения безопасности и антитеррористической защищенности объектов топливно-энергетического комплекса»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lang w:eastAsia="en-US"/>
        </w:rPr>
        <w:t xml:space="preserve">).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Выдано 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lang w:eastAsia="en-US"/>
        </w:rPr>
        <w:t>20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предписаний об устранении выявленных нарушений, вынесено 17 предостережений о недопустимости нарушений законодательства Российской Федерации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>в области обеспечения безопасности объектов ТЭК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>.</w:t>
      </w:r>
    </w:p>
    <w:p>
      <w:pPr>
        <w:pStyle w:val="ConsPlusNormal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В ходе осуществления мероприятий </w:t>
      </w:r>
      <w:r>
        <w:rPr>
          <w:rFonts w:ascii="Times New Roman" w:hAnsi="Times New Roman"/>
          <w:sz w:val="26"/>
          <w:szCs w:val="26"/>
        </w:rPr>
        <w:t xml:space="preserve">по контролю </w:t>
      </w:r>
      <w:r>
        <w:rPr>
          <w:rFonts w:ascii="Times New Roman" w:hAnsi="Times New Roman"/>
          <w:sz w:val="26"/>
          <w:szCs w:val="26"/>
        </w:rPr>
        <w:t xml:space="preserve">за </w:t>
      </w:r>
      <w:r>
        <w:rPr>
          <w:rFonts w:ascii="Times New Roman" w:hAnsi="Times New Roman"/>
          <w:sz w:val="26"/>
          <w:szCs w:val="26"/>
        </w:rPr>
        <w:t xml:space="preserve">деятельностью </w:t>
      </w:r>
      <w:r>
        <w:rPr>
          <w:rFonts w:eastAsia="Times New Roman" w:ascii="Times New Roman" w:hAnsi="Times New Roman"/>
          <w:sz w:val="26"/>
          <w:szCs w:val="26"/>
        </w:rPr>
        <w:t xml:space="preserve">подразделений охраны </w:t>
      </w:r>
      <w:r>
        <w:rPr>
          <w:rFonts w:ascii="Times New Roman" w:hAnsi="Times New Roman"/>
          <w:sz w:val="26"/>
          <w:szCs w:val="26"/>
        </w:rPr>
        <w:t xml:space="preserve">выявлено </w:t>
      </w:r>
      <w:r>
        <w:rPr>
          <w:rFonts w:eastAsia="Calibri" w:cs="Times New Roman" w:ascii="Times New Roman" w:hAnsi="Times New Roman"/>
          <w:sz w:val="26"/>
          <w:szCs w:val="26"/>
        </w:rPr>
        <w:t>16</w:t>
      </w:r>
      <w:r>
        <w:rPr>
          <w:rFonts w:ascii="Times New Roman" w:hAnsi="Times New Roman"/>
          <w:sz w:val="26"/>
          <w:szCs w:val="26"/>
        </w:rPr>
        <w:t xml:space="preserve"> нарушений обязательных требований, установленных нормативными правовыми актами Российской Федерации при организации и осуществлении охранной деятельности. Составлено 2 протокола об административных правонарушениях по части 1 статьи 20.8 КоАП РФ  «Нарушение правил производства, продажи, хранения, уничтожения или учета оружия и патронов к нему, взрывчатых веществ и взрывных устройств, пиротехнических изделий IV и V классов, если эти действия не содержат уголовно наказуемого деяния». Выдано </w:t>
      </w:r>
      <w:r>
        <w:rPr>
          <w:rFonts w:eastAsia="Calibri" w:cs="Times New Roman" w:ascii="Times New Roman" w:hAnsi="Times New Roman"/>
          <w:sz w:val="26"/>
          <w:szCs w:val="26"/>
        </w:rPr>
        <w:t>5</w:t>
      </w:r>
      <w:r>
        <w:rPr>
          <w:rFonts w:ascii="Times New Roman" w:hAnsi="Times New Roman"/>
          <w:sz w:val="26"/>
          <w:szCs w:val="26"/>
        </w:rPr>
        <w:t xml:space="preserve"> предписаний об устранении выявленных нарушений, вынесено 1 предостережение о недопустимости нарушений законодательства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Российской Федерации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в области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>осуществлени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>я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охранной деятельности.</w:t>
      </w:r>
    </w:p>
    <w:p>
      <w:pPr>
        <w:pStyle w:val="ConsPlusNormal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Анализ </w:t>
      </w:r>
      <w:r>
        <w:rPr>
          <w:rFonts w:ascii="Times New Roman" w:hAnsi="Times New Roman"/>
          <w:sz w:val="26"/>
          <w:szCs w:val="26"/>
        </w:rPr>
        <w:t xml:space="preserve">контрольно-надзорных </w:t>
      </w:r>
      <w:r>
        <w:rPr>
          <w:rFonts w:ascii="Times New Roman" w:hAnsi="Times New Roman"/>
          <w:sz w:val="26"/>
          <w:szCs w:val="26"/>
        </w:rPr>
        <w:t>мероприятий свидетельствует, что основными нарушениями являются: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134" w:leader="none"/>
        </w:tabs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pacing w:val="-4"/>
          <w:sz w:val="26"/>
          <w:szCs w:val="26"/>
          <w:u w:val="single"/>
        </w:rPr>
        <w:t xml:space="preserve">Для подразделений охраны юридических лиц с особыми уставными задачами и подразделений ведомственной охраны: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pacing w:val="-4"/>
          <w:sz w:val="26"/>
          <w:szCs w:val="26"/>
        </w:rPr>
        <w:t>нарушение обязательных требований в сфере оборота оружия</w:t>
      </w:r>
      <w:r>
        <w:rPr>
          <w:rFonts w:ascii="Times New Roman" w:hAnsi="Times New Roman"/>
          <w:sz w:val="26"/>
          <w:szCs w:val="26"/>
        </w:rPr>
        <w:t xml:space="preserve"> (нарушение условий хранения оружия; нахождение в комнатах хранения оружия подконтрольных субъектов сверх установленных норм положенности боевого (служебного) ручного стрелкового оружия; закрепление оружия за категорией должностей, не предусмотренных нормами положенности оружия); отсутствие в подразделениях охраны специальных средств, предусмотренных утвержденным </w:t>
      </w:r>
      <w:r>
        <w:rPr>
          <w:rFonts w:ascii="Times New Roman" w:hAnsi="Times New Roman"/>
          <w:iCs/>
          <w:sz w:val="26"/>
          <w:szCs w:val="26"/>
        </w:rPr>
        <w:t>Перечнем</w:t>
      </w:r>
      <w:r>
        <w:rPr>
          <w:rFonts w:ascii="Times New Roman" w:hAnsi="Times New Roman"/>
          <w:spacing w:val="-4"/>
          <w:sz w:val="26"/>
          <w:szCs w:val="26"/>
        </w:rPr>
        <w:t xml:space="preserve">;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pacing w:val="-4"/>
          <w:sz w:val="26"/>
          <w:szCs w:val="26"/>
        </w:rPr>
        <w:t>нарушение обязательных требований в сфере организации и осуществления охранной деятельности (</w:t>
      </w:r>
      <w:r>
        <w:rPr>
          <w:rFonts w:ascii="Times New Roman" w:hAnsi="Times New Roman"/>
          <w:sz w:val="26"/>
          <w:szCs w:val="26"/>
        </w:rPr>
        <w:t>нарушение сроков прохождения работниками подразделений охраны медицинских осмотров и периодических проверок на пригодность к действиям в условиях, связанных с применением оружия и специальных средств);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невыполнение в установленный срок законного предписания органа, осуществляющего государственный надзор (контроль), об устранении нарушений законодательства.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134" w:leader="none"/>
        </w:tabs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u w:val="single"/>
        </w:rPr>
        <w:t xml:space="preserve">Для объектов ТЭК: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pacing w:val="-4"/>
          <w:sz w:val="26"/>
          <w:szCs w:val="26"/>
        </w:rPr>
        <w:t>нарушения обязательных требований по обеспечению безопасности и антитеррористической защищенности объектов ТЭК, которые могут привести к совершению в отношении объекта ТЭК акта незаконного вмешательства (</w:t>
      </w:r>
      <w:r>
        <w:rPr>
          <w:rFonts w:ascii="Times New Roman" w:hAnsi="Times New Roman"/>
          <w:sz w:val="26"/>
          <w:szCs w:val="26"/>
        </w:rPr>
        <w:t xml:space="preserve">нарушение требований, предъявляемых к: физической </w:t>
      </w:r>
      <w:r>
        <w:rPr>
          <w:rFonts w:ascii="Times New Roman" w:hAnsi="Times New Roman"/>
          <w:sz w:val="26"/>
          <w:szCs w:val="26"/>
        </w:rPr>
        <w:t xml:space="preserve">охране </w:t>
      </w:r>
      <w:r>
        <w:rPr>
          <w:rFonts w:ascii="Times New Roman" w:hAnsi="Times New Roman"/>
          <w:sz w:val="26"/>
          <w:szCs w:val="26"/>
        </w:rPr>
        <w:t>и инженерно-техническим средствам защиты объекта ТЭК; специально техническим средствам досмотра; системам: охранной сигнализации; сбора и обработки информации; оперативной связи; контроля и управления доступом; охранно-телевизионным; охранного освещения; электропитания);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невыполнение в установленный срок законного предписания органа, осуществляющего государственный надзор (контроль), об устранении нарушений обязательных требований </w:t>
      </w:r>
      <w:r>
        <w:rPr>
          <w:rFonts w:ascii="Times New Roman" w:hAnsi="Times New Roman"/>
          <w:bCs/>
          <w:sz w:val="26"/>
          <w:szCs w:val="26"/>
        </w:rPr>
        <w:t>по обеспечению безопасности и антитеррористической защищенности объектов ТЭК</w:t>
      </w:r>
      <w:r>
        <w:rPr>
          <w:rFonts w:ascii="Times New Roman" w:hAnsi="Times New Roman"/>
          <w:sz w:val="26"/>
          <w:szCs w:val="26"/>
        </w:rPr>
        <w:t>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  <w:highlight w:val="yellow"/>
        </w:rPr>
      </w:pPr>
      <w:r>
        <w:rPr>
          <w:rFonts w:ascii="Times New Roman" w:hAnsi="Times New Roman"/>
          <w:sz w:val="26"/>
          <w:szCs w:val="26"/>
          <w:highlight w:val="yellow"/>
        </w:rPr>
      </w:r>
    </w:p>
    <w:p>
      <w:pPr>
        <w:pStyle w:val="Normal"/>
        <w:spacing w:lineRule="auto" w:line="240" w:before="0" w:after="0"/>
        <w:ind w:firstLine="708"/>
        <w:jc w:val="right"/>
        <w:rPr>
          <w:rFonts w:ascii="Times New Roman" w:hAnsi="Times New Roman"/>
          <w:b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О</w:t>
      </w: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 xml:space="preserve">тдел государственного контроля 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Управления Росгвардии по Иркутской области</w:t>
      </w:r>
    </w:p>
    <w:sectPr>
      <w:headerReference w:type="default" r:id="rId2"/>
      <w:headerReference w:type="first" r:id="rId3"/>
      <w:type w:val="nextPage"/>
      <w:pgSz w:w="11906" w:h="16838"/>
      <w:pgMar w:left="1701" w:right="1134" w:header="574" w:top="1083" w:footer="0" w:bottom="958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Cambria">
    <w:charset w:val="01"/>
    <w:family w:val="swiss"/>
    <w:pitch w:val="default"/>
  </w:font>
  <w:font w:name="Times New Roman">
    <w:charset w:val="01"/>
    <w:family w:val="swiss"/>
    <w:pitch w:val="default"/>
  </w:font>
  <w:font w:name="Sylfaen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imes New Roman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auto"/>
    <w:pitch w:val="default"/>
  </w:font>
  <w:font w:name="Wingdings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2"/>
      <w:spacing w:before="0" w:after="200"/>
      <w:jc w:val="center"/>
      <w:rPr>
        <w:rFonts w:ascii="Times New Roman" w:hAnsi="Times New Roman" w:eastAsia="Times New Roman" w:cs="Times New Roman"/>
        <w:color w:val="auto"/>
        <w:kern w:val="0"/>
        <w:sz w:val="24"/>
        <w:szCs w:val="24"/>
        <w:lang w:val="ru-RU" w:eastAsia="ru-RU" w:bidi="ar-SA"/>
      </w:rPr>
    </w:pPr>
    <w:r>
      <w:rPr>
        <w:rFonts w:eastAsia="Times New Roman" w:cs="Times New Roman" w:ascii="Times New Roman" w:hAnsi="Times New Roman"/>
        <w:color w:val="auto"/>
        <w:kern w:val="0"/>
        <w:sz w:val="24"/>
        <w:szCs w:val="24"/>
        <w:lang w:val="ru-RU" w:eastAsia="ru-RU" w:bidi="ar-SA"/>
      </w:rPr>
      <w:t>2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2"/>
      <w:spacing w:before="0" w:after="200"/>
      <w:jc w:val="center"/>
      <w:rPr>
        <w:rFonts w:ascii="Times New Roman" w:hAnsi="Times New Roman" w:eastAsia="Times New Roman" w:cs="Times New Roman"/>
        <w:color w:val="auto"/>
        <w:kern w:val="0"/>
        <w:sz w:val="24"/>
        <w:szCs w:val="24"/>
        <w:lang w:val="ru-RU" w:eastAsia="ru-RU" w:bidi="ar-SA"/>
      </w:rPr>
    </w:pPr>
    <w:r>
      <w:rPr>
        <w:rFonts w:eastAsia="Times New Roman" w:cs="Times New Roman" w:ascii="Times New Roman" w:hAnsi="Times New Roman"/>
        <w:color w:val="auto"/>
        <w:kern w:val="0"/>
        <w:sz w:val="24"/>
        <w:szCs w:val="24"/>
        <w:lang w:val="ru-RU" w:eastAsia="ru-RU" w:bidi="ar-SA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62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b1305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Заголовок Знак"/>
    <w:link w:val="a4"/>
    <w:uiPriority w:val="10"/>
    <w:qFormat/>
    <w:locked/>
    <w:rsid w:val="000d699a"/>
    <w:rPr>
      <w:b/>
      <w:sz w:val="36"/>
      <w:u w:val="single"/>
    </w:rPr>
  </w:style>
  <w:style w:type="character" w:styleId="1" w:customStyle="1">
    <w:name w:val="Название Знак1"/>
    <w:basedOn w:val="DefaultParagraphFont"/>
    <w:uiPriority w:val="10"/>
    <w:qFormat/>
    <w:rsid w:val="000d699a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  <w:lang w:eastAsia="ru-RU"/>
    </w:rPr>
  </w:style>
  <w:style w:type="character" w:styleId="Style15" w:customStyle="1">
    <w:name w:val="Текст сноски Знак"/>
    <w:basedOn w:val="DefaultParagraphFont"/>
    <w:link w:val="a5"/>
    <w:uiPriority w:val="99"/>
    <w:semiHidden/>
    <w:qFormat/>
    <w:rsid w:val="00ae6e0a"/>
    <w:rPr>
      <w:rFonts w:ascii="Calibri" w:hAnsi="Calibri" w:eastAsia="Times New Roman" w:cs="Times New Roman"/>
      <w:sz w:val="20"/>
      <w:szCs w:val="20"/>
      <w:lang w:eastAsia="ru-RU"/>
    </w:rPr>
  </w:style>
  <w:style w:type="character" w:styleId="Style16">
    <w:name w:val="Привязка сноски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ae6e0a"/>
    <w:rPr>
      <w:vertAlign w:val="superscript"/>
    </w:rPr>
  </w:style>
  <w:style w:type="character" w:styleId="FontStyle109" w:customStyle="1">
    <w:name w:val="Font Style109"/>
    <w:basedOn w:val="DefaultParagraphFont"/>
    <w:uiPriority w:val="99"/>
    <w:qFormat/>
    <w:rsid w:val="002f0e2a"/>
    <w:rPr>
      <w:rFonts w:ascii="Times New Roman" w:hAnsi="Times New Roman" w:cs="Times New Roman"/>
      <w:sz w:val="26"/>
      <w:szCs w:val="26"/>
    </w:rPr>
  </w:style>
  <w:style w:type="character" w:styleId="FontStyle114" w:customStyle="1">
    <w:name w:val="Font Style114"/>
    <w:basedOn w:val="DefaultParagraphFont"/>
    <w:uiPriority w:val="99"/>
    <w:qFormat/>
    <w:rsid w:val="002f0e2a"/>
    <w:rPr>
      <w:rFonts w:ascii="Times New Roman" w:hAnsi="Times New Roman" w:cs="Times New Roman"/>
      <w:b/>
      <w:bCs/>
      <w:sz w:val="26"/>
      <w:szCs w:val="26"/>
    </w:rPr>
  </w:style>
  <w:style w:type="character" w:styleId="FontStyle116" w:customStyle="1">
    <w:name w:val="Font Style116"/>
    <w:basedOn w:val="DefaultParagraphFont"/>
    <w:uiPriority w:val="99"/>
    <w:qFormat/>
    <w:rsid w:val="002f0e2a"/>
    <w:rPr>
      <w:rFonts w:ascii="Sylfaen" w:hAnsi="Sylfaen" w:cs="Sylfaen"/>
      <w:spacing w:val="20"/>
      <w:sz w:val="18"/>
      <w:szCs w:val="18"/>
    </w:rPr>
  </w:style>
  <w:style w:type="character" w:styleId="Style17" w:customStyle="1">
    <w:name w:val="Основной текст_"/>
    <w:basedOn w:val="DefaultParagraphFont"/>
    <w:link w:val="4"/>
    <w:uiPriority w:val="99"/>
    <w:qFormat/>
    <w:locked/>
    <w:rsid w:val="002f0e2a"/>
    <w:rPr>
      <w:rFonts w:ascii="Times New Roman" w:hAnsi="Times New Roman" w:cs="Times New Roman"/>
      <w:sz w:val="27"/>
      <w:szCs w:val="27"/>
      <w:shd w:fill="FFFFFF" w:val="clear"/>
    </w:rPr>
  </w:style>
  <w:style w:type="character" w:styleId="23pt" w:customStyle="1">
    <w:name w:val="Основной текст (2) + Интервал 3 pt"/>
    <w:basedOn w:val="DefaultParagraphFont"/>
    <w:uiPriority w:val="99"/>
    <w:qFormat/>
    <w:rsid w:val="002f0e2a"/>
    <w:rPr>
      <w:rFonts w:ascii="Times New Roman" w:hAnsi="Times New Roman" w:cs="Times New Roman"/>
      <w:b/>
      <w:bCs/>
      <w:color w:val="000000"/>
      <w:spacing w:val="70"/>
      <w:w w:val="100"/>
      <w:sz w:val="27"/>
      <w:szCs w:val="27"/>
      <w:u w:val="none"/>
      <w:lang w:val="ru-RU"/>
    </w:rPr>
  </w:style>
  <w:style w:type="character" w:styleId="Style18">
    <w:name w:val="Символ сноски"/>
    <w:qFormat/>
    <w:rPr/>
  </w:style>
  <w:style w:type="character" w:styleId="Style19">
    <w:name w:val="Интернет-ссылка"/>
    <w:rPr>
      <w:color w:val="000080"/>
      <w:u w:val="single"/>
      <w:lang w:val="zxx" w:eastAsia="zxx" w:bidi="zxx"/>
    </w:rPr>
  </w:style>
  <w:style w:type="character" w:styleId="Style20">
    <w:name w:val="Привязка концевой сноски"/>
    <w:rPr>
      <w:vertAlign w:val="superscript"/>
    </w:rPr>
  </w:style>
  <w:style w:type="character" w:styleId="Style21">
    <w:name w:val="Символ концевой сноски"/>
    <w:qFormat/>
    <w:rPr/>
  </w:style>
  <w:style w:type="paragraph" w:styleId="Style22">
    <w:name w:val="Заголовок"/>
    <w:basedOn w:val="Normal"/>
    <w:next w:val="Style23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3">
    <w:name w:val="Body Text"/>
    <w:basedOn w:val="Normal"/>
    <w:pPr>
      <w:spacing w:lineRule="auto" w:line="276" w:before="0" w:after="140"/>
    </w:pPr>
    <w:rPr/>
  </w:style>
  <w:style w:type="paragraph" w:styleId="Style24">
    <w:name w:val="List"/>
    <w:basedOn w:val="Style23"/>
    <w:pPr/>
    <w:rPr>
      <w:rFonts w:cs="Noto Sans Devanagari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cs="Noto Sans Devanagari"/>
    </w:rPr>
  </w:style>
  <w:style w:type="paragraph" w:styleId="ConsPlusNormal" w:customStyle="1">
    <w:name w:val="ConsPlusNormal"/>
    <w:qFormat/>
    <w:rsid w:val="00ab1305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 w:eastAsiaTheme="minorHAnsi"/>
      <w:color w:val="auto"/>
      <w:kern w:val="0"/>
      <w:sz w:val="24"/>
      <w:szCs w:val="24"/>
      <w:lang w:val="ru-RU" w:eastAsia="en-US" w:bidi="ar-SA"/>
    </w:rPr>
  </w:style>
  <w:style w:type="paragraph" w:styleId="Style27">
    <w:name w:val="Title"/>
    <w:basedOn w:val="Normal"/>
    <w:link w:val="a3"/>
    <w:uiPriority w:val="10"/>
    <w:qFormat/>
    <w:rsid w:val="000d699a"/>
    <w:pPr>
      <w:spacing w:lineRule="auto" w:line="240" w:before="0" w:after="0"/>
      <w:jc w:val="center"/>
    </w:pPr>
    <w:rPr>
      <w:rFonts w:ascii="Calibri" w:hAnsi="Calibri" w:eastAsia="Calibri" w:cs="" w:asciiTheme="minorHAnsi" w:cstheme="minorBidi" w:eastAsiaTheme="minorHAnsi" w:hAnsiTheme="minorHAnsi"/>
      <w:b/>
      <w:sz w:val="36"/>
      <w:u w:val="single"/>
      <w:lang w:eastAsia="en-US"/>
    </w:rPr>
  </w:style>
  <w:style w:type="paragraph" w:styleId="Style28">
    <w:name w:val="Footnote Text"/>
    <w:basedOn w:val="Normal"/>
    <w:link w:val="a6"/>
    <w:uiPriority w:val="99"/>
    <w:semiHidden/>
    <w:unhideWhenUsed/>
    <w:rsid w:val="00ae6e0a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607091"/>
    <w:pPr>
      <w:widowControl w:val="false"/>
      <w:spacing w:lineRule="auto" w:line="240" w:before="0" w:after="0"/>
      <w:ind w:left="708" w:hanging="0"/>
    </w:pPr>
    <w:rPr>
      <w:rFonts w:ascii="Times New Roman" w:hAnsi="Times New Roman"/>
      <w:sz w:val="20"/>
      <w:szCs w:val="20"/>
    </w:rPr>
  </w:style>
  <w:style w:type="paragraph" w:styleId="Style31" w:customStyle="1">
    <w:name w:val="Style3"/>
    <w:basedOn w:val="Normal"/>
    <w:uiPriority w:val="99"/>
    <w:qFormat/>
    <w:rsid w:val="002f0e2a"/>
    <w:pPr>
      <w:widowControl w:val="false"/>
      <w:spacing w:lineRule="exact" w:line="324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51" w:customStyle="1">
    <w:name w:val="Style25"/>
    <w:basedOn w:val="Normal"/>
    <w:uiPriority w:val="99"/>
    <w:qFormat/>
    <w:rsid w:val="002f0e2a"/>
    <w:pPr>
      <w:widowControl w:val="false"/>
      <w:spacing w:lineRule="exact" w:line="322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9" w:customStyle="1">
    <w:name w:val="Style29"/>
    <w:basedOn w:val="Normal"/>
    <w:uiPriority w:val="99"/>
    <w:qFormat/>
    <w:rsid w:val="002f0e2a"/>
    <w:pPr>
      <w:widowControl w:val="false"/>
      <w:spacing w:lineRule="auto" w:line="240" w:before="0" w:after="0"/>
    </w:pPr>
    <w:rPr>
      <w:rFonts w:ascii="Times New Roman" w:hAnsi="Times New Roman" w:eastAsia="" w:eastAsiaTheme="minorEastAsia"/>
      <w:sz w:val="24"/>
      <w:szCs w:val="24"/>
    </w:rPr>
  </w:style>
  <w:style w:type="paragraph" w:styleId="4" w:customStyle="1">
    <w:name w:val="Основной текст4"/>
    <w:basedOn w:val="Normal"/>
    <w:link w:val="a9"/>
    <w:uiPriority w:val="99"/>
    <w:qFormat/>
    <w:rsid w:val="002f0e2a"/>
    <w:pPr>
      <w:widowControl w:val="false"/>
      <w:shd w:val="clear" w:color="auto" w:fill="FFFFFF"/>
      <w:spacing w:lineRule="atLeast" w:line="240" w:before="0" w:after="720"/>
      <w:ind w:hanging="1960"/>
      <w:jc w:val="right"/>
    </w:pPr>
    <w:rPr>
      <w:rFonts w:ascii="Times New Roman" w:hAnsi="Times New Roman" w:eastAsia="Calibri" w:eastAsiaTheme="minorHAnsi"/>
      <w:sz w:val="27"/>
      <w:szCs w:val="27"/>
      <w:lang w:eastAsia="en-US"/>
    </w:rPr>
  </w:style>
  <w:style w:type="paragraph" w:styleId="Style30">
    <w:name w:val="Верхний и нижний колонтитулы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Style32">
    <w:name w:val="Header"/>
    <w:basedOn w:val="Style30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7907DE-1C06-4D16-9C99-2661C4ECC6A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Application>LibreOffice/7.0.4.2$Linux_X86_64 LibreOffice_project/dcf040e67528d9187c66b2379df5ea4407429775</Application>
  <AppVersion>15.0000</AppVersion>
  <Pages>2</Pages>
  <Words>621</Words>
  <Characters>4792</Characters>
  <CharactersWithSpaces>5401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2022-12-12T01:55:00Z</dcterms:created>
  <dc:creator>user</dc:creator>
  <dc:description/>
  <dc:language>ru-RU</dc:language>
  <cp:lastModifiedBy/>
  <cp:lastPrinted>2022-12-12T10:27:16Z</cp:lastPrinted>
  <dcterms:modified xsi:type="dcterms:W3CDTF">2022-12-12T11:15:26Z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