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7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  <w:u w:val="none"/>
        </w:rPr>
        <w:t xml:space="preserve">Информация </w:t>
      </w:r>
    </w:p>
    <w:p>
      <w:pPr>
        <w:pStyle w:val="Style27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  <w:u w:val="none"/>
        </w:rPr>
        <w:t xml:space="preserve">о результатах осуществления Управлением Росгвардии по Иркутской области федерального государственного контроля (надзора) за обеспечением безопасности объектов топливно-энергетического комплекса, контроля за деятельностью </w:t>
      </w:r>
      <w:r>
        <w:rPr>
          <w:rFonts w:eastAsia="Times New Roman" w:cs="Times New Roman" w:ascii="Times New Roman" w:hAnsi="Times New Roman"/>
          <w:sz w:val="26"/>
          <w:szCs w:val="26"/>
          <w:u w:val="none"/>
        </w:rPr>
        <w:t xml:space="preserve">подразделений охраны юридических лиц с особыми уставными задачами и подразделений ведомственной охраны, осуществляющих свою деятельность на территории </w:t>
      </w:r>
      <w:r>
        <w:rPr>
          <w:rFonts w:cs="Times New Roman" w:ascii="Times New Roman" w:hAnsi="Times New Roman"/>
          <w:sz w:val="26"/>
          <w:szCs w:val="26"/>
          <w:u w:val="none"/>
        </w:rPr>
        <w:t>Иркутской области,</w:t>
      </w:r>
    </w:p>
    <w:p>
      <w:pPr>
        <w:pStyle w:val="Style27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  <w:u w:val="none"/>
        </w:rPr>
        <w:t>за 1 полугодие 202</w:t>
      </w:r>
      <w:r>
        <w:rPr>
          <w:rFonts w:eastAsia="Calibri" w:cs="Times New Roman" w:ascii="Times New Roman" w:hAnsi="Times New Roman" w:eastAsiaTheme="minorHAnsi"/>
          <w:b/>
          <w:color w:val="auto"/>
          <w:kern w:val="0"/>
          <w:sz w:val="26"/>
          <w:szCs w:val="26"/>
          <w:u w:val="none"/>
          <w:lang w:val="ru-RU" w:eastAsia="en-US" w:bidi="ar-SA"/>
        </w:rPr>
        <w:t>2</w:t>
      </w:r>
      <w:r>
        <w:rPr>
          <w:rFonts w:cs="Times New Roman" w:ascii="Times New Roman" w:hAnsi="Times New Roman"/>
          <w:sz w:val="26"/>
          <w:szCs w:val="26"/>
          <w:u w:val="none"/>
        </w:rPr>
        <w:t xml:space="preserve"> года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27"/>
        <w:ind w:firstLine="709"/>
        <w:jc w:val="both"/>
        <w:rPr>
          <w:shd w:fill="FFFF00" w:val="clear"/>
        </w:rPr>
      </w:pP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В соответствии с Планами Федеральной службы войск национальной гвардии Российской Федерации проведения плановых проверок обеспечения безопасности и антитеррористической защищенности объектов топливно-энергетического комплекса (далее - ТЭК), подразделений охраны юридических лиц с особыми уставными задачами и подразделений ведомственной охраны (далее - подразделения охраны) на 202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2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год, а также </w:t>
      </w:r>
      <w:r>
        <w:rPr>
          <w:rFonts w:ascii="Times New Roman" w:hAnsi="Times New Roman"/>
          <w:b w:val="false"/>
          <w:sz w:val="26"/>
          <w:szCs w:val="26"/>
          <w:u w:val="none"/>
          <w:shd w:fill="auto" w:val="clear"/>
        </w:rPr>
        <w:t xml:space="preserve">в целях контроля за устранением выявленных нарушений обязательных требований, предъявляемых к объектам ТЭК и подразделениям охраны,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отделом государственного контроля Управления Росгвардии по Иркутской области в течение 1 полугодия 20</w:t>
      </w:r>
      <w:r>
        <w:rPr>
          <w:rFonts w:eastAsia="Calibri" w:cs="Times New Roman" w:ascii="Times New Roman" w:hAnsi="Times New Roman" w:eastAsiaTheme="minorHAnsi"/>
          <w:b w:val="false"/>
          <w:sz w:val="26"/>
          <w:szCs w:val="26"/>
          <w:u w:val="none"/>
          <w:shd w:fill="auto" w:val="clear"/>
          <w:lang w:eastAsia="en-US"/>
        </w:rPr>
        <w:t>21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года осуществлено 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30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проверок, из них: </w:t>
      </w:r>
      <w:r>
        <w:rPr>
          <w:rFonts w:eastAsia="Times New Roman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21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проверк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  <w:shd w:fill="auto" w:val="clear"/>
        </w:rPr>
        <w:t>а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по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обеспечению безопасности объектов ТЭК (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1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3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плановых, 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8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внеплановых), 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9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провер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о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к по контролю за деятельностью 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  <w:shd w:fill="auto" w:val="clear"/>
        </w:rPr>
        <w:t>подразделений охраны (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6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- плановых,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3 внеплановые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).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</w:t>
      </w:r>
    </w:p>
    <w:p>
      <w:pPr>
        <w:pStyle w:val="Style27"/>
        <w:ind w:firstLine="709"/>
        <w:jc w:val="both"/>
        <w:rPr/>
      </w:pP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В ходе осуществления федерального государственного контроля (надзора) за обеспечением безопасности объектов ТЭК выявлено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104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нарушени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я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</w:t>
      </w:r>
      <w:r>
        <w:rPr>
          <w:rFonts w:eastAsia="Calibri" w:cs="Times New Roman" w:ascii="Times New Roman" w:hAnsi="Times New Roman"/>
          <w:b w:val="false"/>
          <w:sz w:val="26"/>
          <w:szCs w:val="26"/>
          <w:u w:val="none"/>
          <w:shd w:fill="auto" w:val="clear"/>
        </w:rPr>
        <w:t>обязательных требований</w:t>
      </w:r>
      <w:r>
        <w:rPr>
          <w:rFonts w:eastAsia="Calibri" w:cs="Times New Roman" w:ascii="Times New Roman" w:hAnsi="Times New Roman"/>
          <w:b w:val="false"/>
          <w:spacing w:val="-2"/>
          <w:sz w:val="26"/>
          <w:szCs w:val="26"/>
          <w:u w:val="none"/>
          <w:shd w:fill="auto" w:val="clear"/>
        </w:rPr>
        <w:t xml:space="preserve">, утвержденных постановлением Правительства Российской Федерации от 05.05.2012 № 458дсп </w:t>
      </w:r>
      <w:r>
        <w:rPr>
          <w:rFonts w:cs="Times New Roman" w:ascii="Times New Roman" w:hAnsi="Times New Roman"/>
          <w:b w:val="false"/>
          <w:bCs/>
          <w:sz w:val="26"/>
          <w:szCs w:val="26"/>
          <w:u w:val="none"/>
          <w:shd w:fill="auto" w:val="clear"/>
        </w:rPr>
        <w:t xml:space="preserve">«Об утверждении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Правил </w:t>
      </w:r>
      <w:r>
        <w:rPr>
          <w:rFonts w:cs="Times New Roman" w:ascii="Times New Roman" w:hAnsi="Times New Roman"/>
          <w:b w:val="false"/>
          <w:bCs/>
          <w:sz w:val="26"/>
          <w:szCs w:val="26"/>
          <w:u w:val="none"/>
          <w:shd w:fill="auto" w:val="clear"/>
        </w:rPr>
        <w:t>по обеспечению безопасности и антитеррористической защищенности объектов топливно-энергетического комплекса»</w:t>
      </w:r>
      <w:r>
        <w:rPr>
          <w:rStyle w:val="FontStyle114"/>
          <w:rFonts w:ascii="Times New Roman" w:hAnsi="Times New Roman"/>
          <w:b w:val="false"/>
          <w:bCs w:val="false"/>
          <w:sz w:val="26"/>
          <w:szCs w:val="26"/>
          <w:u w:val="none"/>
          <w:shd w:fill="auto" w:val="clear"/>
        </w:rPr>
        <w:t>, в том числе:</w:t>
      </w:r>
      <w:r>
        <w:rPr>
          <w:rStyle w:val="FontStyle114"/>
          <w:rFonts w:ascii="Times New Roman" w:hAnsi="Times New Roman"/>
          <w:b/>
          <w:sz w:val="26"/>
          <w:szCs w:val="26"/>
          <w:u w:val="none"/>
          <w:shd w:fill="auto" w:val="clear"/>
        </w:rPr>
        <w:t xml:space="preserve"> </w:t>
      </w:r>
      <w:r>
        <w:rPr>
          <w:rStyle w:val="FontStyle114"/>
          <w:rFonts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  <w:shd w:fill="auto" w:val="clear"/>
        </w:rPr>
        <w:t xml:space="preserve">к построению системы физической защиты - </w:t>
      </w:r>
      <w:r>
        <w:rPr>
          <w:rStyle w:val="FontStyle114"/>
          <w:rFonts w:eastAsia="Calibri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5</w:t>
      </w:r>
      <w:r>
        <w:rPr>
          <w:rStyle w:val="FontStyle114"/>
          <w:rFonts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  <w:shd w:fill="auto" w:val="clear"/>
        </w:rPr>
        <w:t>;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  <w:shd w:fill="auto" w:val="clear"/>
        </w:rPr>
        <w:t xml:space="preserve"> инженерно-технических средств охраны - </w:t>
      </w:r>
      <w:r>
        <w:rPr>
          <w:rStyle w:val="FontStyle114"/>
          <w:rFonts w:eastAsia="Calibri" w:cs="XO Thames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kern w:val="0"/>
          <w:sz w:val="26"/>
          <w:szCs w:val="26"/>
          <w:u w:val="none"/>
          <w:shd w:fill="auto" w:val="clear"/>
          <w:lang w:val="ru-RU" w:eastAsia="zh-CN" w:bidi="ar-SA"/>
        </w:rPr>
        <w:t>99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  <w:shd w:fill="auto" w:val="clear"/>
        </w:rPr>
        <w:t xml:space="preserve"> (инженерно-технические средства защиты - </w:t>
      </w:r>
      <w:r>
        <w:rPr>
          <w:rStyle w:val="FontStyle114"/>
          <w:rFonts w:eastAsia="Calibri" w:cs="XO Thames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kern w:val="0"/>
          <w:sz w:val="26"/>
          <w:szCs w:val="26"/>
          <w:u w:val="none"/>
          <w:shd w:fill="auto" w:val="clear"/>
          <w:lang w:val="ru-RU" w:eastAsia="zh-CN" w:bidi="ar-SA"/>
        </w:rPr>
        <w:t>65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  <w:shd w:fill="auto" w:val="clear"/>
        </w:rPr>
        <w:t xml:space="preserve">; система охранной сигнализации - </w:t>
      </w:r>
      <w:r>
        <w:rPr>
          <w:rStyle w:val="FontStyle114"/>
          <w:rFonts w:eastAsia="Calibri" w:cs="XO Thames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11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  <w:shd w:fill="auto" w:val="clear"/>
        </w:rPr>
        <w:t xml:space="preserve">; 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  <w:shd w:fill="auto" w:val="clear"/>
        </w:rPr>
        <w:t xml:space="preserve">системы контроля и управлением доступа - 1, 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  <w:shd w:fill="auto" w:val="clear"/>
        </w:rPr>
        <w:t xml:space="preserve">система охранно-телевизионная - </w:t>
      </w:r>
      <w:r>
        <w:rPr>
          <w:rStyle w:val="FontStyle114"/>
          <w:rFonts w:eastAsia="Calibri" w:cs="XO Thames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kern w:val="0"/>
          <w:sz w:val="26"/>
          <w:szCs w:val="26"/>
          <w:u w:val="none"/>
          <w:shd w:fill="auto" w:val="clear"/>
          <w:lang w:val="ru-RU" w:eastAsia="zh-CN" w:bidi="ar-SA"/>
        </w:rPr>
        <w:t>10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  <w:shd w:fill="auto" w:val="clear"/>
        </w:rPr>
        <w:t xml:space="preserve">; система охранного освещения - </w:t>
      </w:r>
      <w:r>
        <w:rPr>
          <w:rStyle w:val="FontStyle114"/>
          <w:rFonts w:eastAsia="Calibri" w:cs="XO Thames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7, иные нарушения - 5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  <w:shd w:fill="auto" w:val="clear"/>
        </w:rPr>
        <w:t>)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. Составлено 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3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протокол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а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об административных правонарушениях (по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части 1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стать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и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20.30 КоАП РФ </w:t>
      </w:r>
      <w:r>
        <w:rPr>
          <w:rFonts w:eastAsia="Calibri" w:cs="Times New Roman" w:ascii="Times New Roman" w:hAnsi="Times New Roman"/>
          <w:b w:val="false"/>
          <w:sz w:val="26"/>
          <w:szCs w:val="26"/>
          <w:u w:val="none"/>
          <w:shd w:fill="auto" w:val="clear"/>
        </w:rPr>
        <w:t>«Нарушение требований обеспечения безопасности и антитеррористической защищенности объектов топливно-энергетического комплекса»</w:t>
      </w:r>
      <w:r>
        <w:rPr>
          <w:rFonts w:eastAsia="Calibri" w:cs="Times New Roman" w:ascii="Times New Roman" w:hAnsi="Times New Roman" w:eastAsiaTheme="minorHAnsi"/>
          <w:b w:val="false"/>
          <w:sz w:val="26"/>
          <w:szCs w:val="26"/>
          <w:u w:val="none"/>
          <w:shd w:fill="auto" w:val="clear"/>
          <w:lang w:eastAsia="en-US"/>
        </w:rPr>
        <w:t xml:space="preserve">).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Выдано 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8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предписаний об устранении выявленных нарушений, вынесено 1 предостережени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е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о недопустимости нарушений законодательства Российской Федерации в области обеспечения безопасности объектов ТЭК.</w:t>
      </w:r>
    </w:p>
    <w:p>
      <w:pPr>
        <w:pStyle w:val="ConsPlusNormal"/>
        <w:ind w:firstLine="709"/>
        <w:jc w:val="both"/>
        <w:rPr>
          <w:shd w:fill="auto" w:val="clear"/>
        </w:rPr>
      </w:pPr>
      <w:r>
        <w:rPr>
          <w:sz w:val="26"/>
          <w:szCs w:val="26"/>
          <w:shd w:fill="auto" w:val="clear"/>
        </w:rPr>
        <w:t xml:space="preserve">В ходе осуществления мероприятий по контролю за деятельностью </w:t>
      </w:r>
      <w:r>
        <w:rPr>
          <w:rFonts w:eastAsia="Times New Roman"/>
          <w:sz w:val="26"/>
          <w:szCs w:val="26"/>
          <w:shd w:fill="auto" w:val="clear"/>
        </w:rPr>
        <w:t xml:space="preserve">подразделений охраны </w:t>
      </w:r>
      <w:r>
        <w:rPr>
          <w:sz w:val="26"/>
          <w:szCs w:val="26"/>
          <w:shd w:fill="auto" w:val="clear"/>
        </w:rPr>
        <w:t xml:space="preserve">выявлено </w:t>
      </w:r>
      <w:r>
        <w:rPr>
          <w:rFonts w:eastAsia="Calibri" w:cs="Times New Roman" w:eastAsiaTheme="minorHAnsi"/>
          <w:color w:val="000000"/>
          <w:kern w:val="0"/>
          <w:sz w:val="26"/>
          <w:szCs w:val="26"/>
          <w:shd w:fill="auto" w:val="clear"/>
          <w:lang w:val="ru-RU" w:eastAsia="en-US" w:bidi="ar-SA"/>
        </w:rPr>
        <w:t>6</w:t>
      </w:r>
      <w:r>
        <w:rPr>
          <w:sz w:val="26"/>
          <w:szCs w:val="26"/>
          <w:shd w:fill="auto" w:val="clear"/>
        </w:rPr>
        <w:t xml:space="preserve"> нарушений обязательных требований, установленных нормативными правовыми актами Российской Федерации при организации и осуществлении охранной деятельности. Выдано </w:t>
      </w:r>
      <w:r>
        <w:rPr>
          <w:rFonts w:eastAsia="Calibri" w:cs="Times New Roman" w:eastAsiaTheme="minorHAnsi"/>
          <w:color w:val="000000"/>
          <w:kern w:val="0"/>
          <w:sz w:val="26"/>
          <w:szCs w:val="26"/>
          <w:shd w:fill="auto" w:val="clear"/>
          <w:lang w:val="ru-RU" w:eastAsia="en-US" w:bidi="ar-SA"/>
        </w:rPr>
        <w:t>2</w:t>
      </w:r>
      <w:r>
        <w:rPr>
          <w:sz w:val="26"/>
          <w:szCs w:val="26"/>
          <w:shd w:fill="auto" w:val="clear"/>
        </w:rPr>
        <w:t xml:space="preserve"> предписания об устранении выявленных нарушений законодательства </w:t>
      </w:r>
      <w:r>
        <w:rPr>
          <w:rFonts w:cs="Times New Roman"/>
          <w:b w:val="false"/>
          <w:sz w:val="26"/>
          <w:szCs w:val="26"/>
          <w:u w:val="none"/>
          <w:shd w:fill="auto" w:val="clear"/>
        </w:rPr>
        <w:t>Российской Федерации</w:t>
        <w:br/>
        <w:t>в области осуществления охранной деятельности.</w:t>
      </w:r>
    </w:p>
    <w:p>
      <w:pPr>
        <w:pStyle w:val="ConsPlusNormal"/>
        <w:ind w:firstLine="709"/>
        <w:jc w:val="both"/>
        <w:rPr>
          <w:shd w:fill="auto" w:val="clear"/>
        </w:rPr>
      </w:pPr>
      <w:r>
        <w:rPr>
          <w:sz w:val="26"/>
          <w:szCs w:val="26"/>
          <w:shd w:fill="auto" w:val="clear"/>
        </w:rPr>
        <w:t>Анализ контрольно-надзорных мероприятий свидетельствует, что основными нарушениями являются: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1134" w:leader="none"/>
        </w:tabs>
        <w:ind w:left="0" w:firstLine="709"/>
        <w:jc w:val="both"/>
        <w:rPr>
          <w:shd w:fill="auto" w:val="clear"/>
        </w:rPr>
      </w:pPr>
      <w:r>
        <w:rPr>
          <w:spacing w:val="-4"/>
          <w:sz w:val="26"/>
          <w:szCs w:val="26"/>
          <w:u w:val="single"/>
          <w:shd w:fill="auto" w:val="clear"/>
        </w:rPr>
        <w:t xml:space="preserve">Для подразделений охраны юридических лиц с особыми уставными задачами и подразделений ведомственной охраны: </w:t>
      </w:r>
    </w:p>
    <w:p>
      <w:pPr>
        <w:pStyle w:val="Normal"/>
        <w:spacing w:lineRule="auto" w:line="240" w:before="0" w:after="0"/>
        <w:ind w:firstLine="708"/>
        <w:jc w:val="both"/>
        <w:rPr>
          <w:shd w:fill="auto" w:val="clear"/>
        </w:rPr>
      </w:pPr>
      <w:r>
        <w:rPr>
          <w:rFonts w:ascii="Times New Roman" w:hAnsi="Times New Roman"/>
          <w:spacing w:val="-4"/>
          <w:sz w:val="26"/>
          <w:szCs w:val="26"/>
          <w:shd w:fill="auto" w:val="clear"/>
        </w:rPr>
        <w:t>нарушение обязательных требований в сфере оборота оружия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 (нарушение условий хранения оружия; нахождение в комнатах хранения оружия подконтрольных субъектов сверх установленных норм положенности боевого (служебного) ручного стрелкового оружия; закрепление оружия за категорией должностей, не предусмотренных нормами положенности оружия); отсутствие в подразделениях охраны специальных средств, предусмотренных утвержденным </w:t>
      </w:r>
      <w:r>
        <w:rPr>
          <w:rFonts w:ascii="Times New Roman" w:hAnsi="Times New Roman"/>
          <w:iCs/>
          <w:sz w:val="26"/>
          <w:szCs w:val="26"/>
          <w:shd w:fill="auto" w:val="clear"/>
        </w:rPr>
        <w:t>Перечнем</w:t>
      </w:r>
      <w:r>
        <w:rPr>
          <w:rFonts w:ascii="Times New Roman" w:hAnsi="Times New Roman"/>
          <w:spacing w:val="-4"/>
          <w:sz w:val="26"/>
          <w:szCs w:val="26"/>
          <w:shd w:fill="auto" w:val="clear"/>
        </w:rPr>
        <w:t xml:space="preserve">; </w:t>
      </w:r>
    </w:p>
    <w:p>
      <w:pPr>
        <w:pStyle w:val="Normal"/>
        <w:spacing w:lineRule="auto" w:line="240" w:before="0" w:after="0"/>
        <w:ind w:firstLine="708"/>
        <w:jc w:val="both"/>
        <w:rPr>
          <w:shd w:fill="auto" w:val="clear"/>
        </w:rPr>
      </w:pPr>
      <w:r>
        <w:rPr>
          <w:rFonts w:ascii="Times New Roman" w:hAnsi="Times New Roman"/>
          <w:spacing w:val="-4"/>
          <w:sz w:val="26"/>
          <w:szCs w:val="26"/>
          <w:shd w:fill="auto" w:val="clear"/>
        </w:rPr>
        <w:t>нарушение обязательных требований в сфере организации и осуществления охранной деятельности (</w:t>
      </w:r>
      <w:r>
        <w:rPr>
          <w:rFonts w:ascii="Times New Roman" w:hAnsi="Times New Roman"/>
          <w:sz w:val="26"/>
          <w:szCs w:val="26"/>
          <w:shd w:fill="auto" w:val="clear"/>
        </w:rPr>
        <w:t>нарушение сроков прохождения работниками подразделений охраны медицинских осмотров и периодических проверок на пригодность к действиям в условиях, связанных с применением оружия и специальных средств);</w:t>
      </w:r>
    </w:p>
    <w:p>
      <w:pPr>
        <w:pStyle w:val="Normal"/>
        <w:spacing w:lineRule="auto" w:line="240" w:before="0" w:after="0"/>
        <w:ind w:firstLine="708"/>
        <w:jc w:val="both"/>
        <w:rPr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  <w:t>невыполнение в установленный срок законного предписания органа, осуществляющего государственный надзор (контроль), об устранении нарушений законодательства.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1134" w:leader="none"/>
        </w:tabs>
        <w:ind w:left="0" w:firstLine="709"/>
        <w:jc w:val="both"/>
        <w:rPr>
          <w:shd w:fill="auto" w:val="clear"/>
        </w:rPr>
      </w:pPr>
      <w:r>
        <w:rPr>
          <w:sz w:val="26"/>
          <w:szCs w:val="26"/>
          <w:u w:val="single"/>
          <w:shd w:fill="auto" w:val="clear"/>
        </w:rPr>
        <w:t xml:space="preserve">Для объектов ТЭК: </w:t>
      </w:r>
    </w:p>
    <w:p>
      <w:pPr>
        <w:pStyle w:val="Normal"/>
        <w:spacing w:lineRule="auto" w:line="240" w:before="0" w:after="0"/>
        <w:ind w:firstLine="708"/>
        <w:jc w:val="both"/>
        <w:rPr>
          <w:shd w:fill="auto" w:val="clear"/>
        </w:rPr>
      </w:pPr>
      <w:r>
        <w:rPr>
          <w:rFonts w:ascii="Times New Roman" w:hAnsi="Times New Roman"/>
          <w:spacing w:val="-4"/>
          <w:sz w:val="26"/>
          <w:szCs w:val="26"/>
          <w:shd w:fill="auto" w:val="clear"/>
        </w:rPr>
        <w:t>нарушения обязательных требований по обеспечению безопасности и антитеррористической защищенности объектов ТЭК, которые могут привести к совершению в отношении объекта ТЭК акта незаконного вмешательства (</w:t>
      </w:r>
      <w:r>
        <w:rPr>
          <w:rFonts w:ascii="Times New Roman" w:hAnsi="Times New Roman"/>
          <w:sz w:val="26"/>
          <w:szCs w:val="26"/>
          <w:shd w:fill="auto" w:val="clear"/>
        </w:rPr>
        <w:t>нарушение требований, предъявляемых к: физической охране и инженерно-техническим средствам защиты объекта ТЭК; специально техническим средствам досмотра; системам: охранной сигнализации; сбора и обработки информации; оперативной связи; контроля и управления доступом; охранно-телевизионным; охранного освещения; электропитания);</w:t>
      </w:r>
    </w:p>
    <w:p>
      <w:pPr>
        <w:pStyle w:val="Normal"/>
        <w:spacing w:lineRule="auto" w:line="240" w:before="0" w:after="0"/>
        <w:ind w:firstLine="708"/>
        <w:jc w:val="both"/>
        <w:rPr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  <w:t xml:space="preserve">невыполнение в установленный срок законного предписания органа, осуществляющего государственный надзор (контроль), об устранении нарушений обязательных требований </w:t>
      </w:r>
      <w:r>
        <w:rPr>
          <w:rFonts w:ascii="Times New Roman" w:hAnsi="Times New Roman"/>
          <w:bCs/>
          <w:sz w:val="26"/>
          <w:szCs w:val="26"/>
          <w:shd w:fill="auto" w:val="clear"/>
        </w:rPr>
        <w:t>по обеспечению безопасности и антитеррористической защищенности объектов ТЭК</w:t>
      </w:r>
      <w:r>
        <w:rPr>
          <w:rFonts w:ascii="Times New Roman" w:hAnsi="Times New Roman"/>
          <w:sz w:val="26"/>
          <w:szCs w:val="26"/>
          <w:shd w:fill="auto" w:val="clear"/>
        </w:rPr>
        <w:t>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z w:val="26"/>
          <w:szCs w:val="26"/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</w:r>
    </w:p>
    <w:p>
      <w:pPr>
        <w:pStyle w:val="Normal"/>
        <w:spacing w:lineRule="auto" w:line="240" w:before="0" w:after="0"/>
        <w:ind w:firstLine="708"/>
        <w:jc w:val="right"/>
        <w:rPr>
          <w:rFonts w:ascii="Times New Roman" w:hAnsi="Times New Roman"/>
          <w:b/>
          <w:b/>
          <w:sz w:val="26"/>
          <w:szCs w:val="26"/>
          <w:shd w:fill="auto" w:val="clear"/>
        </w:rPr>
      </w:pPr>
      <w:r>
        <w:rPr>
          <w:rFonts w:ascii="Times New Roman" w:hAnsi="Times New Roman"/>
          <w:b/>
          <w:sz w:val="26"/>
          <w:szCs w:val="26"/>
          <w:shd w:fill="auto" w:val="clear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left"/>
        <w:rPr>
          <w:shd w:fill="auto" w:val="clear"/>
        </w:rPr>
      </w:pPr>
      <w:r>
        <w:rPr>
          <w:rFonts w:ascii="Times New Roman" w:hAnsi="Times New Roman"/>
          <w:b/>
          <w:sz w:val="26"/>
          <w:szCs w:val="26"/>
          <w:shd w:fill="auto" w:val="clear"/>
        </w:rPr>
        <w:t>О</w:t>
      </w:r>
      <w:r>
        <w:rPr>
          <w:rFonts w:eastAsia="Times New Roman" w:cs="Times New Roman" w:ascii="Times New Roman" w:hAnsi="Times New Roman"/>
          <w:b/>
          <w:sz w:val="26"/>
          <w:szCs w:val="26"/>
          <w:shd w:fill="auto" w:val="clear"/>
          <w:lang w:eastAsia="ru-RU"/>
        </w:rPr>
        <w:t xml:space="preserve">тдел государственного контроля 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left"/>
        <w:rPr>
          <w:shd w:fill="auto" w:val="clear"/>
        </w:rPr>
      </w:pPr>
      <w:r>
        <w:rPr>
          <w:rFonts w:ascii="Times New Roman" w:hAnsi="Times New Roman"/>
          <w:b/>
          <w:sz w:val="26"/>
          <w:szCs w:val="26"/>
          <w:shd w:fill="auto" w:val="clear"/>
        </w:rPr>
        <w:t>Управления Росгвардии по Иркутской области</w:t>
      </w:r>
    </w:p>
    <w:sectPr>
      <w:headerReference w:type="default" r:id="rId2"/>
      <w:headerReference w:type="first" r:id="rId3"/>
      <w:type w:val="nextPage"/>
      <w:pgSz w:w="11906" w:h="16838"/>
      <w:pgMar w:left="1701" w:right="1134" w:header="574" w:top="1083" w:footer="0" w:bottom="958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Times New Roman">
    <w:charset w:val="01"/>
    <w:family w:val="roman"/>
    <w:pitch w:val="variable"/>
  </w:font>
  <w:font w:name="Sylfaen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auto"/>
    <w:pitch w:val="default"/>
  </w:font>
  <w:font w:name="Wingdings">
    <w:charset w:val="02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2"/>
      <w:spacing w:before="0" w:after="200"/>
      <w:jc w:val="center"/>
      <w:rPr>
        <w:rFonts w:ascii="Times New Roman" w:hAnsi="Times New Roman" w:eastAsia="Times New Roman" w:cs="Times New Roman"/>
        <w:color w:val="auto"/>
        <w:kern w:val="0"/>
        <w:sz w:val="24"/>
        <w:szCs w:val="24"/>
        <w:lang w:val="ru-RU" w:eastAsia="ru-RU" w:bidi="ar-SA"/>
      </w:rPr>
    </w:pPr>
    <w:r>
      <w:rPr>
        <w:rFonts w:eastAsia="Times New Roman" w:cs="Times New Roman" w:ascii="Times New Roman" w:hAnsi="Times New Roman"/>
        <w:color w:val="auto"/>
        <w:kern w:val="0"/>
        <w:sz w:val="24"/>
        <w:szCs w:val="24"/>
        <w:lang w:val="ru-RU" w:eastAsia="ru-RU" w:bidi="ar-SA"/>
      </w:rPr>
      <w:t>2</w: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2"/>
      <w:spacing w:before="0" w:after="200"/>
      <w:jc w:val="center"/>
      <w:rPr>
        <w:rFonts w:ascii="Times New Roman" w:hAnsi="Times New Roman" w:eastAsia="Times New Roman" w:cs="Times New Roman"/>
        <w:color w:val="auto"/>
        <w:kern w:val="0"/>
        <w:sz w:val="24"/>
        <w:szCs w:val="24"/>
        <w:lang w:val="ru-RU" w:eastAsia="ru-RU" w:bidi="ar-SA"/>
      </w:rPr>
    </w:pPr>
    <w:r>
      <w:rPr>
        <w:rFonts w:eastAsia="Times New Roman" w:cs="Times New Roman" w:ascii="Times New Roman" w:hAnsi="Times New Roman"/>
        <w:color w:val="auto"/>
        <w:kern w:val="0"/>
        <w:sz w:val="24"/>
        <w:szCs w:val="24"/>
        <w:lang w:val="ru-RU" w:eastAsia="ru-RU" w:bidi="ar-SA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142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8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62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b1305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Заголовок Знак"/>
    <w:link w:val="a4"/>
    <w:uiPriority w:val="10"/>
    <w:qFormat/>
    <w:locked/>
    <w:rsid w:val="000d699a"/>
    <w:rPr>
      <w:b/>
      <w:sz w:val="36"/>
      <w:u w:val="single"/>
    </w:rPr>
  </w:style>
  <w:style w:type="character" w:styleId="1" w:customStyle="1">
    <w:name w:val="Название Знак1"/>
    <w:basedOn w:val="DefaultParagraphFont"/>
    <w:uiPriority w:val="10"/>
    <w:qFormat/>
    <w:rsid w:val="000d699a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  <w:lang w:eastAsia="ru-RU"/>
    </w:rPr>
  </w:style>
  <w:style w:type="character" w:styleId="Style15" w:customStyle="1">
    <w:name w:val="Текст сноски Знак"/>
    <w:basedOn w:val="DefaultParagraphFont"/>
    <w:link w:val="a5"/>
    <w:uiPriority w:val="99"/>
    <w:semiHidden/>
    <w:qFormat/>
    <w:rsid w:val="00ae6e0a"/>
    <w:rPr>
      <w:rFonts w:ascii="Calibri" w:hAnsi="Calibri" w:eastAsia="Times New Roman" w:cs="Times New Roman"/>
      <w:sz w:val="20"/>
      <w:szCs w:val="20"/>
      <w:lang w:eastAsia="ru-RU"/>
    </w:rPr>
  </w:style>
  <w:style w:type="character" w:styleId="Style16">
    <w:name w:val="Привязка сноски"/>
    <w:rPr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ae6e0a"/>
    <w:rPr>
      <w:vertAlign w:val="superscript"/>
    </w:rPr>
  </w:style>
  <w:style w:type="character" w:styleId="FontStyle109" w:customStyle="1">
    <w:name w:val="Font Style109"/>
    <w:basedOn w:val="DefaultParagraphFont"/>
    <w:uiPriority w:val="99"/>
    <w:qFormat/>
    <w:rsid w:val="002f0e2a"/>
    <w:rPr>
      <w:rFonts w:ascii="Times New Roman" w:hAnsi="Times New Roman" w:cs="Times New Roman"/>
      <w:sz w:val="26"/>
      <w:szCs w:val="26"/>
    </w:rPr>
  </w:style>
  <w:style w:type="character" w:styleId="FontStyle114" w:customStyle="1">
    <w:name w:val="Font Style114"/>
    <w:basedOn w:val="DefaultParagraphFont"/>
    <w:uiPriority w:val="99"/>
    <w:qFormat/>
    <w:rsid w:val="002f0e2a"/>
    <w:rPr>
      <w:rFonts w:ascii="Times New Roman" w:hAnsi="Times New Roman" w:cs="Times New Roman"/>
      <w:b/>
      <w:bCs/>
      <w:sz w:val="26"/>
      <w:szCs w:val="26"/>
    </w:rPr>
  </w:style>
  <w:style w:type="character" w:styleId="FontStyle116" w:customStyle="1">
    <w:name w:val="Font Style116"/>
    <w:basedOn w:val="DefaultParagraphFont"/>
    <w:uiPriority w:val="99"/>
    <w:qFormat/>
    <w:rsid w:val="002f0e2a"/>
    <w:rPr>
      <w:rFonts w:ascii="Sylfaen" w:hAnsi="Sylfaen" w:cs="Sylfaen"/>
      <w:spacing w:val="20"/>
      <w:sz w:val="18"/>
      <w:szCs w:val="18"/>
    </w:rPr>
  </w:style>
  <w:style w:type="character" w:styleId="Style17" w:customStyle="1">
    <w:name w:val="Основной текст_"/>
    <w:basedOn w:val="DefaultParagraphFont"/>
    <w:link w:val="4"/>
    <w:uiPriority w:val="99"/>
    <w:qFormat/>
    <w:locked/>
    <w:rsid w:val="002f0e2a"/>
    <w:rPr>
      <w:rFonts w:ascii="Times New Roman" w:hAnsi="Times New Roman" w:cs="Times New Roman"/>
      <w:sz w:val="27"/>
      <w:szCs w:val="27"/>
      <w:shd w:fill="FFFFFF" w:val="clear"/>
    </w:rPr>
  </w:style>
  <w:style w:type="character" w:styleId="23pt" w:customStyle="1">
    <w:name w:val="Основной текст (2) + Интервал 3 pt"/>
    <w:basedOn w:val="DefaultParagraphFont"/>
    <w:uiPriority w:val="99"/>
    <w:qFormat/>
    <w:rsid w:val="002f0e2a"/>
    <w:rPr>
      <w:rFonts w:ascii="Times New Roman" w:hAnsi="Times New Roman" w:cs="Times New Roman"/>
      <w:b/>
      <w:bCs/>
      <w:color w:val="000000"/>
      <w:spacing w:val="70"/>
      <w:w w:val="100"/>
      <w:sz w:val="27"/>
      <w:szCs w:val="27"/>
      <w:u w:val="none"/>
      <w:lang w:val="ru-RU"/>
    </w:rPr>
  </w:style>
  <w:style w:type="character" w:styleId="Style18">
    <w:name w:val="Символ сноски"/>
    <w:qFormat/>
    <w:rPr/>
  </w:style>
  <w:style w:type="character" w:styleId="Style19">
    <w:name w:val="Интернет-ссылка"/>
    <w:rPr>
      <w:color w:val="000080"/>
      <w:u w:val="single"/>
      <w:lang w:val="zxx" w:eastAsia="zxx" w:bidi="zxx"/>
    </w:rPr>
  </w:style>
  <w:style w:type="character" w:styleId="Style20">
    <w:name w:val="Привязка концевой сноски"/>
    <w:rPr>
      <w:vertAlign w:val="superscript"/>
    </w:rPr>
  </w:style>
  <w:style w:type="character" w:styleId="Style21">
    <w:name w:val="Символ концевой сноски"/>
    <w:qFormat/>
    <w:rPr/>
  </w:style>
  <w:style w:type="paragraph" w:styleId="Style22">
    <w:name w:val="Заголовок"/>
    <w:basedOn w:val="Normal"/>
    <w:next w:val="Style23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3">
    <w:name w:val="Body Text"/>
    <w:basedOn w:val="Normal"/>
    <w:pPr>
      <w:spacing w:lineRule="auto" w:line="276" w:before="0" w:after="140"/>
    </w:pPr>
    <w:rPr/>
  </w:style>
  <w:style w:type="paragraph" w:styleId="Style24">
    <w:name w:val="List"/>
    <w:basedOn w:val="Style23"/>
    <w:pPr/>
    <w:rPr>
      <w:rFonts w:cs="Noto Sans Devanagari"/>
    </w:rPr>
  </w:style>
  <w:style w:type="paragraph" w:styleId="Style25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6">
    <w:name w:val="Указатель"/>
    <w:basedOn w:val="Normal"/>
    <w:qFormat/>
    <w:pPr>
      <w:suppressLineNumbers/>
    </w:pPr>
    <w:rPr>
      <w:rFonts w:cs="Noto Sans Devanagari"/>
    </w:rPr>
  </w:style>
  <w:style w:type="paragraph" w:styleId="ConsPlusNormal" w:customStyle="1">
    <w:name w:val="ConsPlusNormal"/>
    <w:qFormat/>
    <w:rsid w:val="00ab1305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 w:eastAsiaTheme="minorHAnsi"/>
      <w:color w:val="auto"/>
      <w:kern w:val="0"/>
      <w:sz w:val="24"/>
      <w:szCs w:val="24"/>
      <w:lang w:val="ru-RU" w:eastAsia="en-US" w:bidi="ar-SA"/>
    </w:rPr>
  </w:style>
  <w:style w:type="paragraph" w:styleId="Style27">
    <w:name w:val="Title"/>
    <w:basedOn w:val="Normal"/>
    <w:link w:val="a3"/>
    <w:uiPriority w:val="10"/>
    <w:qFormat/>
    <w:rsid w:val="000d699a"/>
    <w:pPr>
      <w:spacing w:lineRule="auto" w:line="240" w:before="0" w:after="0"/>
      <w:jc w:val="center"/>
    </w:pPr>
    <w:rPr>
      <w:rFonts w:ascii="Calibri" w:hAnsi="Calibri" w:eastAsia="Calibri" w:cs="" w:asciiTheme="minorHAnsi" w:cstheme="minorBidi" w:eastAsiaTheme="minorHAnsi" w:hAnsiTheme="minorHAnsi"/>
      <w:b/>
      <w:sz w:val="36"/>
      <w:u w:val="single"/>
      <w:lang w:eastAsia="en-US"/>
    </w:rPr>
  </w:style>
  <w:style w:type="paragraph" w:styleId="Style28">
    <w:name w:val="Footnote Text"/>
    <w:basedOn w:val="Normal"/>
    <w:link w:val="a6"/>
    <w:uiPriority w:val="99"/>
    <w:semiHidden/>
    <w:unhideWhenUsed/>
    <w:rsid w:val="00ae6e0a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607091"/>
    <w:pPr>
      <w:widowControl w:val="false"/>
      <w:spacing w:lineRule="auto" w:line="240" w:before="0" w:after="0"/>
      <w:ind w:left="708" w:hanging="0"/>
    </w:pPr>
    <w:rPr>
      <w:rFonts w:ascii="Times New Roman" w:hAnsi="Times New Roman"/>
      <w:sz w:val="20"/>
      <w:szCs w:val="20"/>
    </w:rPr>
  </w:style>
  <w:style w:type="paragraph" w:styleId="Style31" w:customStyle="1">
    <w:name w:val="Style3"/>
    <w:basedOn w:val="Normal"/>
    <w:uiPriority w:val="99"/>
    <w:qFormat/>
    <w:rsid w:val="002f0e2a"/>
    <w:pPr>
      <w:widowControl w:val="false"/>
      <w:spacing w:lineRule="exact" w:line="324" w:before="0" w:after="0"/>
      <w:jc w:val="both"/>
    </w:pPr>
    <w:rPr>
      <w:rFonts w:ascii="Times New Roman" w:hAnsi="Times New Roman" w:eastAsia="" w:eastAsiaTheme="minorEastAsia"/>
      <w:sz w:val="24"/>
      <w:szCs w:val="24"/>
    </w:rPr>
  </w:style>
  <w:style w:type="paragraph" w:styleId="Style251" w:customStyle="1">
    <w:name w:val="Style25"/>
    <w:basedOn w:val="Normal"/>
    <w:uiPriority w:val="99"/>
    <w:qFormat/>
    <w:rsid w:val="002f0e2a"/>
    <w:pPr>
      <w:widowControl w:val="false"/>
      <w:spacing w:lineRule="exact" w:line="322" w:before="0" w:after="0"/>
      <w:jc w:val="both"/>
    </w:pPr>
    <w:rPr>
      <w:rFonts w:ascii="Times New Roman" w:hAnsi="Times New Roman" w:eastAsia="" w:eastAsiaTheme="minorEastAsia"/>
      <w:sz w:val="24"/>
      <w:szCs w:val="24"/>
    </w:rPr>
  </w:style>
  <w:style w:type="paragraph" w:styleId="Style29" w:customStyle="1">
    <w:name w:val="Style29"/>
    <w:basedOn w:val="Normal"/>
    <w:uiPriority w:val="99"/>
    <w:qFormat/>
    <w:rsid w:val="002f0e2a"/>
    <w:pPr>
      <w:widowControl w:val="false"/>
      <w:spacing w:lineRule="auto" w:line="240" w:before="0" w:after="0"/>
    </w:pPr>
    <w:rPr>
      <w:rFonts w:ascii="Times New Roman" w:hAnsi="Times New Roman" w:eastAsia="" w:eastAsiaTheme="minorEastAsia"/>
      <w:sz w:val="24"/>
      <w:szCs w:val="24"/>
    </w:rPr>
  </w:style>
  <w:style w:type="paragraph" w:styleId="4" w:customStyle="1">
    <w:name w:val="Основной текст4"/>
    <w:basedOn w:val="Normal"/>
    <w:link w:val="a9"/>
    <w:uiPriority w:val="99"/>
    <w:qFormat/>
    <w:rsid w:val="002f0e2a"/>
    <w:pPr>
      <w:widowControl w:val="false"/>
      <w:shd w:val="clear" w:color="auto" w:fill="FFFFFF"/>
      <w:spacing w:lineRule="atLeast" w:line="240" w:before="0" w:after="720"/>
      <w:ind w:hanging="1960"/>
      <w:jc w:val="right"/>
    </w:pPr>
    <w:rPr>
      <w:rFonts w:ascii="Times New Roman" w:hAnsi="Times New Roman" w:eastAsia="Calibri" w:eastAsiaTheme="minorHAnsi"/>
      <w:sz w:val="27"/>
      <w:szCs w:val="27"/>
      <w:lang w:eastAsia="en-US"/>
    </w:rPr>
  </w:style>
  <w:style w:type="paragraph" w:styleId="Style30">
    <w:name w:val="Верхний и нижний колонтитулы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Style32">
    <w:name w:val="Header"/>
    <w:basedOn w:val="Style30"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7907DE-1C06-4D16-9C99-2661C4ECC6A4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Application>LibreOffice/7.1.4.2$Linux_X86_64 LibreOffice_project/a529a4fab45b75fefc5b6226684193eb000654f6</Application>
  <AppVersion>15.0000</AppVersion>
  <Pages>2</Pages>
  <Words>531</Words>
  <Characters>4203</Characters>
  <CharactersWithSpaces>4721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2022-12-12T01:55:00Z</dcterms:created>
  <dc:creator>user</dc:creator>
  <dc:description/>
  <dc:language>ru-RU</dc:language>
  <cp:lastModifiedBy/>
  <cp:lastPrinted>2022-12-12T10:27:16Z</cp:lastPrinted>
  <dcterms:modified xsi:type="dcterms:W3CDTF">2022-12-12T12:43:19Z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