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6"/>
        <w:rPr>
          <w:rFonts w:ascii="Times New Roman" w:hAnsi="Times New Roman" w:cs="Times New Roman"/>
          <w:sz w:val="26"/>
          <w:szCs w:val="26"/>
          <w:u w:val="none"/>
        </w:rPr>
      </w:pPr>
      <w:r>
        <w:rPr>
          <w:rFonts w:cs="Times New Roman" w:ascii="XO Thames" w:hAnsi="XO Thames"/>
          <w:sz w:val="26"/>
          <w:szCs w:val="26"/>
          <w:u w:val="none"/>
        </w:rPr>
        <w:t xml:space="preserve"> </w:t>
      </w:r>
      <w:r>
        <w:rPr>
          <w:rFonts w:cs="Times New Roman" w:ascii="XO Thames" w:hAnsi="XO Thames"/>
          <w:sz w:val="26"/>
          <w:szCs w:val="26"/>
          <w:u w:val="none"/>
        </w:rPr>
        <w:t xml:space="preserve">Информация </w:t>
      </w:r>
    </w:p>
    <w:p>
      <w:pPr>
        <w:pStyle w:val="Style26"/>
        <w:rPr/>
      </w:pPr>
      <w:r>
        <w:rPr>
          <w:rFonts w:cs="Times New Roman" w:ascii="XO Thames" w:hAnsi="XO Thames"/>
          <w:sz w:val="26"/>
          <w:szCs w:val="26"/>
          <w:u w:val="none"/>
        </w:rPr>
        <w:t xml:space="preserve">о результатах осуществления Управлением Росгвардии по Иркутской области федерального государственного контроля (надзора) за деятельностью </w:t>
      </w:r>
      <w:r>
        <w:rPr>
          <w:rFonts w:eastAsia="Times New Roman" w:cs="Times New Roman" w:ascii="XO Thames" w:hAnsi="XO Thames"/>
          <w:sz w:val="26"/>
          <w:szCs w:val="26"/>
          <w:u w:val="none"/>
        </w:rPr>
        <w:t>подразделений охраны юридических лиц с особыми уставными задачами, подразделений ведомственной охраны</w:t>
      </w:r>
      <w:r>
        <w:rPr>
          <w:rFonts w:cs="Times New Roman" w:ascii="XO Thames" w:hAnsi="XO Thames"/>
          <w:sz w:val="26"/>
          <w:szCs w:val="26"/>
          <w:u w:val="none"/>
        </w:rPr>
        <w:t xml:space="preserve"> и за обеспечением безопасности объектов топливно – энергетического комплекса Иркутской области за 2019 год</w:t>
      </w:r>
    </w:p>
    <w:p>
      <w:pPr>
        <w:pStyle w:val="Normal"/>
        <w:spacing w:lineRule="auto" w:line="240" w:before="0" w:after="0"/>
        <w:ind w:firstLine="709"/>
        <w:jc w:val="both"/>
        <w:rPr>
          <w:rFonts w:ascii="XO Thames" w:hAnsi="XO Thames"/>
          <w:sz w:val="26"/>
          <w:szCs w:val="26"/>
        </w:rPr>
      </w:pPr>
      <w:r>
        <w:rPr>
          <w:rFonts w:ascii="XO Thames" w:hAnsi="XO Thames"/>
          <w:sz w:val="26"/>
          <w:szCs w:val="26"/>
        </w:rPr>
      </w:r>
    </w:p>
    <w:p>
      <w:pPr>
        <w:pStyle w:val="Style26"/>
        <w:ind w:firstLine="709"/>
        <w:jc w:val="both"/>
        <w:rPr/>
      </w:pPr>
      <w:r>
        <w:rPr>
          <w:rFonts w:cs="Times New Roman" w:ascii="XO Thames" w:hAnsi="XO Thames"/>
          <w:b w:val="false"/>
          <w:sz w:val="26"/>
          <w:szCs w:val="26"/>
          <w:u w:val="none"/>
        </w:rPr>
        <w:t>В соответствии с Планами Федеральной службы войск национальной гвардии Российской Федерации проведения плановых проверок юридических лиц и индивидуальных предпринимателей на 2019, проверок объектов топливно-энергетического комплекса</w:t>
      </w:r>
      <w:r>
        <w:rPr>
          <w:rStyle w:val="Style16"/>
          <w:rStyle w:val="Style16"/>
          <w:rFonts w:cs="Times New Roman" w:ascii="XO Thames" w:hAnsi="XO Thames"/>
          <w:b w:val="false"/>
          <w:sz w:val="26"/>
          <w:szCs w:val="26"/>
          <w:u w:val="none"/>
        </w:rPr>
        <w:footnoteReference w:id="2"/>
      </w:r>
      <w:r>
        <w:rPr>
          <w:rFonts w:cs="Times New Roman" w:ascii="XO Thames" w:hAnsi="XO Thames"/>
          <w:b w:val="false"/>
          <w:sz w:val="26"/>
          <w:szCs w:val="26"/>
          <w:u w:val="none"/>
        </w:rPr>
        <w:t xml:space="preserve"> на 2019 год, а также </w:t>
      </w:r>
      <w:r>
        <w:rPr>
          <w:rFonts w:ascii="XO Thames" w:hAnsi="XO Thames"/>
          <w:b w:val="false"/>
          <w:sz w:val="26"/>
          <w:szCs w:val="26"/>
          <w:u w:val="none"/>
        </w:rPr>
        <w:t xml:space="preserve">в целях контроля за устранением нарушений </w:t>
      </w:r>
      <w:r>
        <w:rPr>
          <w:rFonts w:cs="Times New Roman" w:ascii="XO Thames" w:hAnsi="XO Thames"/>
          <w:b w:val="false"/>
          <w:sz w:val="26"/>
          <w:szCs w:val="26"/>
          <w:u w:val="none"/>
        </w:rPr>
        <w:t>Управлени</w:t>
      </w:r>
      <w:r>
        <w:rPr>
          <w:rFonts w:cs="Times New Roman" w:ascii="XO Thames" w:hAnsi="XO Thames"/>
          <w:b w:val="false"/>
          <w:sz w:val="26"/>
          <w:szCs w:val="26"/>
          <w:u w:val="none"/>
        </w:rPr>
        <w:t>ем</w:t>
      </w:r>
      <w:r>
        <w:rPr>
          <w:rFonts w:cs="Times New Roman" w:ascii="XO Thames" w:hAnsi="XO Thames"/>
          <w:b w:val="false"/>
          <w:sz w:val="26"/>
          <w:szCs w:val="26"/>
          <w:u w:val="none"/>
        </w:rPr>
        <w:t xml:space="preserve"> Росгвардии по Иркутской области</w:t>
        <w:br/>
        <w:t xml:space="preserve">в 2019 году осуществлено 53 проверки, из них: 9 проверок за деятельностью </w:t>
      </w:r>
      <w:r>
        <w:rPr>
          <w:rFonts w:eastAsia="Times New Roman" w:cs="Times New Roman" w:ascii="XO Thames" w:hAnsi="XO Thames"/>
          <w:b w:val="false"/>
          <w:sz w:val="26"/>
          <w:szCs w:val="26"/>
          <w:u w:val="none"/>
        </w:rPr>
        <w:t>подразделений охраны юридических лиц с особыми уставными задачами и подразделений ведомственной охраны (4</w:t>
      </w:r>
      <w:r>
        <w:rPr>
          <w:rFonts w:cs="Times New Roman" w:ascii="XO Thames" w:hAnsi="XO Thames"/>
          <w:b w:val="false"/>
          <w:sz w:val="26"/>
          <w:szCs w:val="26"/>
          <w:u w:val="none"/>
        </w:rPr>
        <w:t xml:space="preserve"> – плановых, 5 - внеплановых)</w:t>
      </w:r>
      <w:r>
        <w:rPr>
          <w:rFonts w:eastAsia="Times New Roman" w:cs="Times New Roman" w:ascii="XO Thames" w:hAnsi="XO Thames"/>
          <w:b w:val="false"/>
          <w:sz w:val="26"/>
          <w:szCs w:val="26"/>
          <w:u w:val="none"/>
        </w:rPr>
        <w:t xml:space="preserve"> и 44 проверки </w:t>
      </w:r>
      <w:r>
        <w:rPr>
          <w:rFonts w:cs="Times New Roman" w:ascii="XO Thames" w:hAnsi="XO Thames"/>
          <w:b w:val="false"/>
          <w:sz w:val="26"/>
          <w:szCs w:val="26"/>
          <w:u w:val="none"/>
        </w:rPr>
        <w:t>за обеспечением безопасности объектов ТЭК (23 плановых и</w:t>
        <w:br/>
        <w:t xml:space="preserve">21 внеплановая). </w:t>
      </w:r>
    </w:p>
    <w:p>
      <w:pPr>
        <w:pStyle w:val="ConsPlusNormal"/>
        <w:ind w:firstLine="709"/>
        <w:jc w:val="both"/>
        <w:rPr>
          <w:rFonts w:ascii="XO Thames" w:hAnsi="XO Thames"/>
          <w:sz w:val="26"/>
          <w:szCs w:val="26"/>
        </w:rPr>
      </w:pPr>
      <w:r>
        <w:rPr>
          <w:rFonts w:ascii="XO Thames" w:hAnsi="XO Thames"/>
          <w:sz w:val="26"/>
          <w:szCs w:val="26"/>
        </w:rPr>
        <w:t xml:space="preserve">В ходе осуществления мероприятий за деятельностью </w:t>
      </w:r>
      <w:r>
        <w:rPr>
          <w:rFonts w:eastAsia="Times New Roman" w:ascii="XO Thames" w:hAnsi="XO Thames"/>
          <w:sz w:val="26"/>
          <w:szCs w:val="26"/>
        </w:rPr>
        <w:t xml:space="preserve">подразделений охраны юридических лиц с особыми уставными задачами и подразделений ведомственной охраны </w:t>
      </w:r>
      <w:r>
        <w:rPr>
          <w:rFonts w:ascii="XO Thames" w:hAnsi="XO Thames"/>
          <w:sz w:val="26"/>
          <w:szCs w:val="26"/>
        </w:rPr>
        <w:t>выявлено 14 нарушений обязательных требований, установленных нормативными правовыми актами Российской Федерации при организации и осуществлении охранной деятельности, 1 факт неисполнения ранее выданного предписания. Составлено 2 протокола об административных правонарушениях (по части 1 статьи 19.5 КоАП РФ – 1 «Невыполнение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законодательства»; по части 1 статьи 20.8 КоАП РФ - 2 «Нарушение правил производства, продажи, хранения, уничтожения или учета оружия и патронов к нему, взрывчатых веществ и взрывных устройств, пиротехнических изделий IV и V классов, если эти действия не содержат уголовно наказуемого деяния»). Выдано 1 предписание об устранении выявленных нарушений.</w:t>
      </w:r>
    </w:p>
    <w:p>
      <w:pPr>
        <w:pStyle w:val="Style26"/>
        <w:ind w:firstLine="709"/>
        <w:jc w:val="both"/>
        <w:rPr/>
      </w:pPr>
      <w:r>
        <w:rPr>
          <w:rFonts w:cs="Times New Roman" w:ascii="XO Thames" w:hAnsi="XO Thames"/>
          <w:b w:val="false"/>
          <w:sz w:val="26"/>
          <w:szCs w:val="26"/>
          <w:u w:val="none"/>
        </w:rPr>
        <w:t xml:space="preserve">В ходе осуществления федерального государственного контроля (надзора) за обеспечением безопасности объектов ТЭК выявлено 380 нарушений </w:t>
      </w:r>
      <w:r>
        <w:rPr>
          <w:rFonts w:eastAsia="Calibri" w:cs="Times New Roman" w:ascii="XO Thames" w:hAnsi="XO Thames"/>
          <w:b w:val="false"/>
          <w:sz w:val="26"/>
          <w:szCs w:val="26"/>
          <w:u w:val="none"/>
        </w:rPr>
        <w:t xml:space="preserve">обязательных требований </w:t>
      </w:r>
      <w:r>
        <w:rPr>
          <w:rFonts w:eastAsia="Calibri" w:cs="Times New Roman" w:ascii="XO Thames" w:hAnsi="XO Thames"/>
          <w:b w:val="false"/>
          <w:spacing w:val="-2"/>
          <w:sz w:val="26"/>
          <w:szCs w:val="26"/>
          <w:u w:val="none"/>
        </w:rPr>
        <w:t xml:space="preserve">по обеспечению безопасности и антитеррористической защищенности объектов ТЭК, утвержденных постановлением Правительства Российской Федерации от 5 мая 2012 г. № 458дсп </w:t>
      </w:r>
      <w:r>
        <w:rPr>
          <w:rFonts w:cs="Times New Roman" w:ascii="XO Thames" w:hAnsi="XO Thames"/>
          <w:b w:val="false"/>
          <w:bCs/>
          <w:sz w:val="26"/>
          <w:szCs w:val="26"/>
          <w:u w:val="none"/>
        </w:rPr>
        <w:t xml:space="preserve">«Об утверждении </w:t>
      </w:r>
      <w:r>
        <w:rPr>
          <w:rFonts w:cs="Times New Roman" w:ascii="XO Thames" w:hAnsi="XO Thames"/>
          <w:b w:val="false"/>
          <w:sz w:val="26"/>
          <w:szCs w:val="26"/>
          <w:u w:val="none"/>
        </w:rPr>
        <w:t>Правил</w:t>
        <w:br/>
      </w:r>
      <w:r>
        <w:rPr>
          <w:rFonts w:cs="Times New Roman" w:ascii="XO Thames" w:hAnsi="XO Thames"/>
          <w:b w:val="false"/>
          <w:bCs/>
          <w:sz w:val="26"/>
          <w:szCs w:val="26"/>
          <w:u w:val="none"/>
        </w:rPr>
        <w:t>по обеспечению безопасности и антитеррористической защищенности объектов топливно-энергетического комплекса</w:t>
      </w:r>
      <w:r>
        <w:rPr>
          <w:rFonts w:cs="Times New Roman" w:ascii="XO Thames" w:hAnsi="XO Thames"/>
          <w:b w:val="false"/>
          <w:bCs w:val="false"/>
          <w:sz w:val="26"/>
          <w:szCs w:val="26"/>
          <w:u w:val="none"/>
        </w:rPr>
        <w:t>»</w:t>
      </w:r>
      <w:r>
        <w:rPr>
          <w:rStyle w:val="FontStyle114"/>
          <w:rFonts w:ascii="XO Thames" w:hAnsi="XO Thames"/>
          <w:b w:val="false"/>
          <w:bCs w:val="false"/>
          <w:sz w:val="26"/>
          <w:szCs w:val="26"/>
          <w:u w:val="none"/>
        </w:rPr>
        <w:t xml:space="preserve">, </w:t>
      </w:r>
      <w:r>
        <w:rPr>
          <w:rStyle w:val="FontStyle114"/>
          <w:rFonts w:cs="" w:ascii="XO Thames" w:hAnsi="XO Thames" w:cstheme="minorBidi"/>
          <w:b w:val="false"/>
          <w:bCs w:val="false"/>
          <w:sz w:val="26"/>
          <w:szCs w:val="26"/>
          <w:u w:val="none"/>
        </w:rPr>
        <w:t xml:space="preserve">в том числе: </w:t>
      </w:r>
      <w:r>
        <w:rPr>
          <w:rFonts w:cs="" w:ascii="XO Thames" w:hAnsi="XO Thames" w:cstheme="minorBidi"/>
          <w:b w:val="false"/>
          <w:sz w:val="26"/>
          <w:szCs w:val="26"/>
          <w:u w:val="none"/>
        </w:rPr>
        <w:t>построение системы физической защиты объекта – 31; инженерно-технических средств охраны - 349</w:t>
      </w:r>
      <w:r>
        <w:rPr>
          <w:rFonts w:cs="" w:ascii="XO Thames" w:hAnsi="XO Thames" w:cstheme="minorBidi"/>
          <w:b w:val="false"/>
          <w:sz w:val="26"/>
          <w:szCs w:val="26"/>
          <w:highlight w:val="yellow"/>
          <w:u w:val="none"/>
        </w:rPr>
        <w:t xml:space="preserve"> </w:t>
      </w:r>
      <w:r>
        <w:rPr>
          <w:rFonts w:cs="" w:ascii="XO Thames" w:hAnsi="XO Thames" w:cstheme="minorBidi"/>
          <w:b w:val="false"/>
          <w:sz w:val="26"/>
          <w:szCs w:val="26"/>
          <w:u w:val="none"/>
        </w:rPr>
        <w:t xml:space="preserve">(инженерно-технические средства защиты - 216; система охранной сигнализации - 32; система сбора и обработки информации - 1; система контроля и управления доступом - 26; специально технические средства досмотра - 16; система охранно-телевизионная – 21; система оперативной связи – 11; система охранного освещения – 19; система оповещения – 3; система электропитания - 4) </w:t>
      </w:r>
      <w:r>
        <w:rPr>
          <w:rFonts w:cs="Times New Roman" w:ascii="XO Thames" w:hAnsi="XO Thames"/>
          <w:b w:val="false"/>
          <w:sz w:val="26"/>
          <w:szCs w:val="26"/>
          <w:u w:val="none"/>
        </w:rPr>
        <w:t>и 6 фактов неисполнения ранее выданных предписаний. Субъектам ТЭК выдано 19 предписаний об устранении нарушений обязательных требований законодательства Российской Федерации.</w:t>
      </w:r>
    </w:p>
    <w:p>
      <w:pPr>
        <w:pStyle w:val="Style26"/>
        <w:ind w:firstLine="709"/>
        <w:jc w:val="both"/>
        <w:rPr/>
      </w:pPr>
      <w:r>
        <w:rPr>
          <w:rFonts w:cs="Times New Roman" w:ascii="XO Thames" w:hAnsi="XO Thames"/>
          <w:b w:val="false"/>
          <w:sz w:val="26"/>
          <w:szCs w:val="26"/>
          <w:u w:val="none"/>
        </w:rPr>
        <w:t>В отношении должностных лиц,</w:t>
      </w:r>
      <w:r>
        <w:rPr>
          <w:rFonts w:cs="Times New Roman" w:ascii="XO Thames" w:hAnsi="XO Thames"/>
          <w:b w:val="false"/>
          <w:bCs/>
          <w:sz w:val="26"/>
          <w:szCs w:val="26"/>
          <w:u w:val="none"/>
        </w:rPr>
        <w:t xml:space="preserve"> ответственных за обеспечение безопасности и антитеррористическую защищенность объектов ТЭК,</w:t>
      </w:r>
      <w:r>
        <w:rPr>
          <w:rFonts w:cs="Times New Roman" w:ascii="XO Thames" w:hAnsi="XO Thames"/>
          <w:b w:val="false"/>
          <w:sz w:val="26"/>
          <w:szCs w:val="26"/>
          <w:u w:val="none"/>
        </w:rPr>
        <w:t xml:space="preserve"> составлено 20 протоколов об административных правонарушениях (по статье 20.30 КоАП РФ </w:t>
      </w:r>
      <w:r>
        <w:rPr>
          <w:rFonts w:eastAsia="Calibri" w:cs="Times New Roman" w:ascii="XO Thames" w:hAnsi="XO Thames"/>
          <w:b w:val="false"/>
          <w:sz w:val="26"/>
          <w:szCs w:val="26"/>
          <w:u w:val="none"/>
        </w:rPr>
        <w:t>«Нарушение требований обеспечения безопасности и антитеррористической защищенности объектов топливно-энергетического комплекса»</w:t>
      </w:r>
      <w:r>
        <w:rPr>
          <w:rFonts w:cs="Times New Roman" w:ascii="XO Thames" w:hAnsi="XO Thames"/>
          <w:b w:val="false"/>
          <w:sz w:val="26"/>
          <w:szCs w:val="26"/>
          <w:u w:val="none"/>
        </w:rPr>
        <w:t xml:space="preserve"> - 14; по части 1 статьи 19.5 КоАП РФ «Невыполнение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законодательства» – 6).</w:t>
      </w:r>
    </w:p>
    <w:p>
      <w:pPr>
        <w:pStyle w:val="ConsPlusNormal"/>
        <w:ind w:firstLine="709"/>
        <w:jc w:val="both"/>
        <w:rPr>
          <w:sz w:val="26"/>
          <w:szCs w:val="26"/>
        </w:rPr>
      </w:pPr>
      <w:r>
        <w:rPr>
          <w:rFonts w:ascii="XO Thames" w:hAnsi="XO Thames"/>
          <w:sz w:val="26"/>
          <w:szCs w:val="26"/>
        </w:rPr>
        <w:t>Анализ проверочных мероприятий свидетельствует, что основными нарушениями являются:</w:t>
      </w:r>
    </w:p>
    <w:p>
      <w:pPr>
        <w:pStyle w:val="ListParagraph"/>
        <w:numPr>
          <w:ilvl w:val="0"/>
          <w:numId w:val="1"/>
        </w:numPr>
        <w:tabs>
          <w:tab w:val="left" w:pos="1134" w:leader="none"/>
        </w:tabs>
        <w:ind w:left="0" w:firstLine="709"/>
        <w:jc w:val="both"/>
        <w:rPr>
          <w:sz w:val="26"/>
          <w:szCs w:val="26"/>
        </w:rPr>
      </w:pPr>
      <w:r>
        <w:rPr>
          <w:rFonts w:ascii="XO Thames" w:hAnsi="XO Thames"/>
          <w:spacing w:val="-4"/>
          <w:sz w:val="26"/>
          <w:szCs w:val="26"/>
          <w:u w:val="single"/>
        </w:rPr>
        <w:t xml:space="preserve">Для подразделений охраны юридических лиц с особыми уставными задачами и подразделений ведомственной охраны: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pacing w:val="-4"/>
          <w:sz w:val="26"/>
          <w:szCs w:val="26"/>
        </w:rPr>
      </w:pPr>
      <w:r>
        <w:rPr>
          <w:rFonts w:ascii="XO Thames" w:hAnsi="XO Thames"/>
          <w:spacing w:val="-4"/>
          <w:sz w:val="26"/>
          <w:szCs w:val="26"/>
        </w:rPr>
        <w:t>нарушение обязательных требований в сфере оборота оружия</w:t>
      </w:r>
      <w:r>
        <w:rPr>
          <w:rFonts w:ascii="XO Thames" w:hAnsi="XO Thames"/>
          <w:sz w:val="26"/>
          <w:szCs w:val="26"/>
        </w:rPr>
        <w:t xml:space="preserve"> (нарушение условий хранения оружия; нахождение в комнатах хранения оружия подконтрольных субъектов сверх установленных норм положенности боевого (служебного) ручного стрелкового оружия; закрепление оружия за категорией должностей, не предусмотренных нормами положенности оружия); отсутствие в подразделениях охраны специальных средств, предусмотренных утвержденным </w:t>
      </w:r>
      <w:r>
        <w:rPr>
          <w:rFonts w:ascii="XO Thames" w:hAnsi="XO Thames"/>
          <w:iCs/>
          <w:sz w:val="26"/>
          <w:szCs w:val="26"/>
        </w:rPr>
        <w:t>Перечнем</w:t>
      </w:r>
      <w:r>
        <w:rPr>
          <w:rFonts w:ascii="XO Thames" w:hAnsi="XO Thames"/>
          <w:spacing w:val="-4"/>
          <w:sz w:val="26"/>
          <w:szCs w:val="26"/>
        </w:rPr>
        <w:t xml:space="preserve">;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XO Thames" w:hAnsi="XO Thames"/>
          <w:spacing w:val="-4"/>
          <w:sz w:val="26"/>
          <w:szCs w:val="26"/>
        </w:rPr>
        <w:t>нарушение обязательных требований в сфере организации и осуществления охранной деятельности (</w:t>
      </w:r>
      <w:r>
        <w:rPr>
          <w:rFonts w:ascii="XO Thames" w:hAnsi="XO Thames"/>
          <w:sz w:val="26"/>
          <w:szCs w:val="26"/>
        </w:rPr>
        <w:t>нарушение сроков прохождения работниками подразделений охраны медицинских осмотров и периодических проверок на пригодность к действиям в условиях, связанных с применением оружия и специальных средств);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XO Thames" w:hAnsi="XO Thames"/>
          <w:sz w:val="26"/>
          <w:szCs w:val="26"/>
        </w:rPr>
        <w:t>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законодательства.</w:t>
      </w:r>
    </w:p>
    <w:p>
      <w:pPr>
        <w:pStyle w:val="ListParagraph"/>
        <w:numPr>
          <w:ilvl w:val="0"/>
          <w:numId w:val="1"/>
        </w:numPr>
        <w:tabs>
          <w:tab w:val="left" w:pos="1134" w:leader="none"/>
        </w:tabs>
        <w:ind w:left="0" w:firstLine="709"/>
        <w:jc w:val="both"/>
        <w:rPr>
          <w:sz w:val="26"/>
          <w:szCs w:val="26"/>
          <w:u w:val="single"/>
        </w:rPr>
      </w:pPr>
      <w:r>
        <w:rPr>
          <w:rFonts w:ascii="XO Thames" w:hAnsi="XO Thames"/>
          <w:sz w:val="26"/>
          <w:szCs w:val="26"/>
          <w:u w:val="single"/>
        </w:rPr>
        <w:t xml:space="preserve">Для объектов ТЭК: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XO Thames" w:hAnsi="XO Thames"/>
          <w:spacing w:val="-4"/>
          <w:sz w:val="26"/>
          <w:szCs w:val="26"/>
        </w:rPr>
        <w:t>нарушения обязательных требований по обеспечению безопасности и антитеррористической защищенности объектов ТЭК, которые могут привести к совершению в отношении объекта ТЭК акта незаконного вмешательства (</w:t>
      </w:r>
      <w:r>
        <w:rPr>
          <w:rFonts w:ascii="XO Thames" w:hAnsi="XO Thames"/>
          <w:sz w:val="26"/>
          <w:szCs w:val="26"/>
        </w:rPr>
        <w:t>нарушение требований, предъявляемых к: физической и инженерно-техническим средствам защиты объекта ТЭК; специально техническим средствам досмотра; системам: охранной сигнализации; сбора и обработки информации; оперативной связи; контроля и управления доступом; охранно-телевизионным; охранного освещения; электропитания);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XO Thames" w:hAnsi="XO Thames"/>
          <w:sz w:val="26"/>
          <w:szCs w:val="26"/>
        </w:rPr>
        <w:t xml:space="preserve">невыполнение в установленный срок законного предписания органа, осуществляющего государственный надзор (контроль), об устранении нарушений обязательных требований </w:t>
      </w:r>
      <w:r>
        <w:rPr>
          <w:rFonts w:ascii="XO Thames" w:hAnsi="XO Thames"/>
          <w:bCs/>
          <w:sz w:val="26"/>
          <w:szCs w:val="26"/>
        </w:rPr>
        <w:t>по обеспечению безопасности и антитеррористической защищенности объектов ТЭК</w:t>
      </w:r>
      <w:r>
        <w:rPr>
          <w:rFonts w:ascii="XO Thames" w:hAnsi="XO Thames"/>
          <w:sz w:val="26"/>
          <w:szCs w:val="26"/>
        </w:rPr>
        <w:t>.</w:t>
      </w:r>
    </w:p>
    <w:p>
      <w:pPr>
        <w:pStyle w:val="Normal"/>
        <w:spacing w:lineRule="auto" w:line="240" w:before="0" w:after="0"/>
        <w:ind w:firstLine="708"/>
        <w:jc w:val="both"/>
        <w:rPr>
          <w:rFonts w:ascii="XO Thames" w:hAnsi="XO Thames"/>
          <w:sz w:val="26"/>
          <w:szCs w:val="26"/>
          <w:highlight w:val="yellow"/>
        </w:rPr>
      </w:pPr>
      <w:r>
        <w:rPr>
          <w:rFonts w:ascii="XO Thames" w:hAnsi="XO Thames"/>
          <w:sz w:val="26"/>
          <w:szCs w:val="26"/>
          <w:highlight w:val="yellow"/>
        </w:rPr>
      </w:r>
    </w:p>
    <w:p>
      <w:pPr>
        <w:pStyle w:val="Normal"/>
        <w:spacing w:lineRule="auto" w:line="240" w:before="0" w:after="0"/>
        <w:ind w:firstLine="708"/>
        <w:jc w:val="right"/>
        <w:rPr>
          <w:rFonts w:ascii="XO Thames" w:hAnsi="XO Thames"/>
          <w:b/>
          <w:b/>
          <w:sz w:val="26"/>
          <w:szCs w:val="26"/>
        </w:rPr>
      </w:pPr>
      <w:r>
        <w:rPr>
          <w:rFonts w:ascii="XO Thames" w:hAnsi="XO Thames"/>
          <w:b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ascii="XO Thames" w:hAnsi="XO Thames"/>
          <w:b/>
          <w:sz w:val="26"/>
          <w:szCs w:val="26"/>
        </w:rPr>
        <w:t xml:space="preserve">Отдел государственного контроля 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/>
      </w:pPr>
      <w:r>
        <w:rPr>
          <w:rFonts w:ascii="XO Thames" w:hAnsi="XO Thames"/>
          <w:b/>
          <w:sz w:val="26"/>
          <w:szCs w:val="26"/>
          <w:u w:val="none"/>
        </w:rPr>
        <w:t xml:space="preserve">Управления Росгвардии по Иркутской области </w:t>
      </w:r>
    </w:p>
    <w:p>
      <w:pPr>
        <w:pStyle w:val="Style26"/>
        <w:spacing w:lineRule="auto" w:line="240" w:before="0" w:after="0"/>
        <w:ind w:hanging="0"/>
        <w:jc w:val="both"/>
        <w:rPr/>
      </w:pPr>
      <w:r>
        <w:rPr/>
      </w:r>
    </w:p>
    <w:sectPr>
      <w:footnotePr>
        <w:numFmt w:val="decimal"/>
      </w:footnote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Times New Roman">
    <w:charset w:val="01"/>
    <w:family w:val="roman"/>
    <w:pitch w:val="variable"/>
  </w:font>
  <w:font w:name="Sylfae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XO Thame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Style27"/>
        <w:rPr/>
      </w:pPr>
      <w:r>
        <w:rPr>
          <w:rStyle w:val="Style18"/>
        </w:rPr>
        <w:footnoteRef/>
      </w:r>
      <w:r>
        <w:rPr>
          <w:rStyle w:val="Style18"/>
        </w:rPr>
        <w:tab/>
      </w:r>
      <w:r>
        <w:rPr>
          <w:rFonts w:ascii="XO Thames" w:hAnsi="XO Thames"/>
        </w:rPr>
        <w:t>Далее – «ТЭК».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1428" w:hanging="360"/>
      </w:pPr>
      <w:rPr>
        <w:rFonts w:ascii="Symbol" w:hAnsi="Symbol" w:cs="Symbol" w:hint="default"/>
        <w:sz w:val="26"/>
        <w:rFonts w:cs="Symbol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0"/>
  <w:defaultTabStop w:val="708"/>
  <w:footnotePr>
    <w:numFmt w:val="decimal"/>
    <w:footnote w:id="0"/>
    <w:footnote w:id="1"/>
  </w:footnotePr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b1305"/>
    <w:pPr>
      <w:widowControl/>
      <w:bidi w:val="0"/>
      <w:spacing w:lineRule="auto" w:line="276" w:before="0" w:after="20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Название Знак"/>
    <w:link w:val="a4"/>
    <w:uiPriority w:val="10"/>
    <w:qFormat/>
    <w:locked/>
    <w:rsid w:val="000d699a"/>
    <w:rPr>
      <w:b/>
      <w:sz w:val="36"/>
      <w:u w:val="single"/>
    </w:rPr>
  </w:style>
  <w:style w:type="character" w:styleId="1" w:customStyle="1">
    <w:name w:val="Название Знак1"/>
    <w:basedOn w:val="DefaultParagraphFont"/>
    <w:link w:val="a4"/>
    <w:uiPriority w:val="10"/>
    <w:qFormat/>
    <w:rsid w:val="000d699a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  <w:lang w:eastAsia="ru-RU"/>
    </w:rPr>
  </w:style>
  <w:style w:type="character" w:styleId="Style15" w:customStyle="1">
    <w:name w:val="Текст сноски Знак"/>
    <w:basedOn w:val="DefaultParagraphFont"/>
    <w:link w:val="a5"/>
    <w:uiPriority w:val="99"/>
    <w:semiHidden/>
    <w:qFormat/>
    <w:rsid w:val="00ae6e0a"/>
    <w:rPr>
      <w:rFonts w:ascii="Calibri" w:hAnsi="Calibri" w:eastAsia="Times New Roman" w:cs="Times New Roman"/>
      <w:sz w:val="20"/>
      <w:szCs w:val="20"/>
      <w:lang w:eastAsia="ru-RU"/>
    </w:rPr>
  </w:style>
  <w:style w:type="character" w:styleId="Style16">
    <w:name w:val="Привязка сноски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ae6e0a"/>
    <w:rPr>
      <w:vertAlign w:val="superscript"/>
    </w:rPr>
  </w:style>
  <w:style w:type="character" w:styleId="FontStyle109" w:customStyle="1">
    <w:name w:val="Font Style109"/>
    <w:basedOn w:val="DefaultParagraphFont"/>
    <w:uiPriority w:val="99"/>
    <w:qFormat/>
    <w:rsid w:val="002f0e2a"/>
    <w:rPr>
      <w:rFonts w:ascii="Times New Roman" w:hAnsi="Times New Roman" w:cs="Times New Roman"/>
      <w:sz w:val="26"/>
      <w:szCs w:val="26"/>
    </w:rPr>
  </w:style>
  <w:style w:type="character" w:styleId="FontStyle114" w:customStyle="1">
    <w:name w:val="Font Style114"/>
    <w:basedOn w:val="DefaultParagraphFont"/>
    <w:uiPriority w:val="99"/>
    <w:qFormat/>
    <w:rsid w:val="002f0e2a"/>
    <w:rPr>
      <w:rFonts w:ascii="Times New Roman" w:hAnsi="Times New Roman" w:cs="Times New Roman"/>
      <w:b/>
      <w:bCs/>
      <w:sz w:val="26"/>
      <w:szCs w:val="26"/>
    </w:rPr>
  </w:style>
  <w:style w:type="character" w:styleId="FontStyle116" w:customStyle="1">
    <w:name w:val="Font Style116"/>
    <w:basedOn w:val="DefaultParagraphFont"/>
    <w:uiPriority w:val="99"/>
    <w:qFormat/>
    <w:rsid w:val="002f0e2a"/>
    <w:rPr>
      <w:rFonts w:ascii="Sylfaen" w:hAnsi="Sylfaen" w:cs="Sylfaen"/>
      <w:spacing w:val="20"/>
      <w:sz w:val="18"/>
      <w:szCs w:val="18"/>
    </w:rPr>
  </w:style>
  <w:style w:type="character" w:styleId="Style17" w:customStyle="1">
    <w:name w:val="Основной текст_"/>
    <w:basedOn w:val="DefaultParagraphFont"/>
    <w:link w:val="4"/>
    <w:uiPriority w:val="99"/>
    <w:qFormat/>
    <w:locked/>
    <w:rsid w:val="002f0e2a"/>
    <w:rPr>
      <w:rFonts w:ascii="Times New Roman" w:hAnsi="Times New Roman" w:cs="Times New Roman"/>
      <w:sz w:val="27"/>
      <w:szCs w:val="27"/>
      <w:shd w:fill="FFFFFF" w:val="clear"/>
    </w:rPr>
  </w:style>
  <w:style w:type="character" w:styleId="23pt" w:customStyle="1">
    <w:name w:val="Основной текст (2) + Интервал 3 pt"/>
    <w:basedOn w:val="DefaultParagraphFont"/>
    <w:uiPriority w:val="99"/>
    <w:qFormat/>
    <w:rsid w:val="002f0e2a"/>
    <w:rPr>
      <w:rFonts w:ascii="Times New Roman" w:hAnsi="Times New Roman" w:cs="Times New Roman"/>
      <w:b/>
      <w:bCs/>
      <w:color w:val="000000"/>
      <w:spacing w:val="70"/>
      <w:w w:val="100"/>
      <w:sz w:val="27"/>
      <w:szCs w:val="27"/>
      <w:u w:val="none"/>
      <w:lang w:val="ru-RU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Style18">
    <w:name w:val="Символ сноски"/>
    <w:qFormat/>
    <w:rPr/>
  </w:style>
  <w:style w:type="character" w:styleId="Style19">
    <w:name w:val="Привязка концевой сноски"/>
    <w:rPr>
      <w:vertAlign w:val="superscript"/>
    </w:rPr>
  </w:style>
  <w:style w:type="character" w:styleId="Style20">
    <w:name w:val="Символ концевой сноски"/>
    <w:qFormat/>
    <w:rPr/>
  </w:style>
  <w:style w:type="character" w:styleId="ListLabel4">
    <w:name w:val="ListLabel 4"/>
    <w:qFormat/>
    <w:rPr>
      <w:rFonts w:cs="Symbol"/>
      <w:sz w:val="26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Wingdings"/>
    </w:rPr>
  </w:style>
  <w:style w:type="character" w:styleId="ListLabel7">
    <w:name w:val="ListLabel 7"/>
    <w:qFormat/>
    <w:rPr>
      <w:rFonts w:cs="Symbol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Wingdings"/>
    </w:rPr>
  </w:style>
  <w:style w:type="character" w:styleId="ListLabel10">
    <w:name w:val="ListLabel 10"/>
    <w:qFormat/>
    <w:rPr>
      <w:rFonts w:cs="Symbol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Wingdings"/>
    </w:rPr>
  </w:style>
  <w:style w:type="character" w:styleId="ListLabel13">
    <w:name w:val="ListLabel 13"/>
    <w:qFormat/>
    <w:rPr>
      <w:rFonts w:cs="Symbol"/>
      <w:sz w:val="26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Wingdings"/>
    </w:rPr>
  </w:style>
  <w:style w:type="character" w:styleId="ListLabel16">
    <w:name w:val="ListLabel 16"/>
    <w:qFormat/>
    <w:rPr>
      <w:rFonts w:cs="Symbol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Wingdings"/>
    </w:rPr>
  </w:style>
  <w:style w:type="character" w:styleId="ListLabel19">
    <w:name w:val="ListLabel 19"/>
    <w:qFormat/>
    <w:rPr>
      <w:rFonts w:cs="Symbol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Wingdings"/>
    </w:rPr>
  </w:style>
  <w:style w:type="character" w:styleId="ListLabel22">
    <w:name w:val="ListLabel 22"/>
    <w:qFormat/>
    <w:rPr>
      <w:rFonts w:cs="Symbol"/>
      <w:sz w:val="26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Wingdings"/>
    </w:rPr>
  </w:style>
  <w:style w:type="character" w:styleId="ListLabel25">
    <w:name w:val="ListLabel 25"/>
    <w:qFormat/>
    <w:rPr>
      <w:rFonts w:cs="Symbol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Wingdings"/>
    </w:rPr>
  </w:style>
  <w:style w:type="character" w:styleId="ListLabel28">
    <w:name w:val="ListLabel 28"/>
    <w:qFormat/>
    <w:rPr>
      <w:rFonts w:cs="Symbol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Wingdings"/>
    </w:rPr>
  </w:style>
  <w:style w:type="character" w:styleId="ListLabel31">
    <w:name w:val="ListLabel 31"/>
    <w:qFormat/>
    <w:rPr>
      <w:rFonts w:cs="Symbol"/>
      <w:sz w:val="26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Wingdings"/>
    </w:rPr>
  </w:style>
  <w:style w:type="character" w:styleId="ListLabel34">
    <w:name w:val="ListLabel 34"/>
    <w:qFormat/>
    <w:rPr>
      <w:rFonts w:cs="Symbol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Wingdings"/>
    </w:rPr>
  </w:style>
  <w:style w:type="character" w:styleId="ListLabel37">
    <w:name w:val="ListLabel 37"/>
    <w:qFormat/>
    <w:rPr>
      <w:rFonts w:cs="Symbol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Wingdings"/>
    </w:rPr>
  </w:style>
  <w:style w:type="character" w:styleId="ListLabel40">
    <w:name w:val="ListLabel 40"/>
    <w:qFormat/>
    <w:rPr>
      <w:rFonts w:cs="Symbol"/>
      <w:sz w:val="26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Wingdings"/>
    </w:rPr>
  </w:style>
  <w:style w:type="character" w:styleId="ListLabel43">
    <w:name w:val="ListLabel 43"/>
    <w:qFormat/>
    <w:rPr>
      <w:rFonts w:cs="Symbol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Wingdings"/>
    </w:rPr>
  </w:style>
  <w:style w:type="character" w:styleId="ListLabel46">
    <w:name w:val="ListLabel 46"/>
    <w:qFormat/>
    <w:rPr>
      <w:rFonts w:cs="Symbol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Wingdings"/>
    </w:rPr>
  </w:style>
  <w:style w:type="character" w:styleId="ListLabel49">
    <w:name w:val="ListLabel 49"/>
    <w:qFormat/>
    <w:rPr>
      <w:rFonts w:cs="Symbol"/>
      <w:sz w:val="26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Wingdings"/>
    </w:rPr>
  </w:style>
  <w:style w:type="character" w:styleId="ListLabel52">
    <w:name w:val="ListLabel 52"/>
    <w:qFormat/>
    <w:rPr>
      <w:rFonts w:cs="Symbol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Wingdings"/>
    </w:rPr>
  </w:style>
  <w:style w:type="character" w:styleId="ListLabel55">
    <w:name w:val="ListLabel 55"/>
    <w:qFormat/>
    <w:rPr>
      <w:rFonts w:cs="Symbol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Wingdings"/>
    </w:rPr>
  </w:style>
  <w:style w:type="character" w:styleId="ListLabel58">
    <w:name w:val="ListLabel 58"/>
    <w:qFormat/>
    <w:rPr>
      <w:rFonts w:cs="Symbol"/>
      <w:sz w:val="26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Wingdings"/>
    </w:rPr>
  </w:style>
  <w:style w:type="character" w:styleId="ListLabel61">
    <w:name w:val="ListLabel 61"/>
    <w:qFormat/>
    <w:rPr>
      <w:rFonts w:cs="Symbol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Wingdings"/>
    </w:rPr>
  </w:style>
  <w:style w:type="character" w:styleId="ListLabel64">
    <w:name w:val="ListLabel 64"/>
    <w:qFormat/>
    <w:rPr>
      <w:rFonts w:cs="Symbol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Wingdings"/>
    </w:rPr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pPr>
      <w:spacing w:lineRule="auto" w:line="276" w:before="0" w:after="140"/>
    </w:pPr>
    <w:rPr/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Noto Sans Devanagari"/>
    </w:rPr>
  </w:style>
  <w:style w:type="paragraph" w:styleId="ConsPlusNormal" w:customStyle="1">
    <w:name w:val="ConsPlusNormal"/>
    <w:qFormat/>
    <w:rsid w:val="00ab1305"/>
    <w:pPr>
      <w:widowControl/>
      <w:bidi w:val="0"/>
      <w:spacing w:lineRule="auto" w:line="240"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ru-RU" w:eastAsia="en-US" w:bidi="ar-SA"/>
    </w:rPr>
  </w:style>
  <w:style w:type="paragraph" w:styleId="Style26">
    <w:name w:val="Title"/>
    <w:basedOn w:val="Normal"/>
    <w:link w:val="a3"/>
    <w:uiPriority w:val="10"/>
    <w:qFormat/>
    <w:rsid w:val="000d699a"/>
    <w:pPr>
      <w:spacing w:lineRule="auto" w:line="240" w:before="0" w:after="0"/>
      <w:jc w:val="center"/>
    </w:pPr>
    <w:rPr>
      <w:rFonts w:ascii="Calibri" w:hAnsi="Calibri" w:eastAsia="Calibri" w:cs="" w:asciiTheme="minorHAnsi" w:cstheme="minorBidi" w:eastAsiaTheme="minorHAnsi" w:hAnsiTheme="minorHAnsi"/>
      <w:b/>
      <w:sz w:val="36"/>
      <w:u w:val="single"/>
      <w:lang w:eastAsia="en-US"/>
    </w:rPr>
  </w:style>
  <w:style w:type="paragraph" w:styleId="Style27">
    <w:name w:val="Footnote Text"/>
    <w:basedOn w:val="Normal"/>
    <w:link w:val="a6"/>
    <w:uiPriority w:val="99"/>
    <w:semiHidden/>
    <w:unhideWhenUsed/>
    <w:rsid w:val="00ae6e0a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07091"/>
    <w:pPr>
      <w:widowControl w:val="false"/>
      <w:spacing w:lineRule="auto" w:line="240" w:before="0" w:after="0"/>
      <w:ind w:left="708" w:hanging="0"/>
    </w:pPr>
    <w:rPr>
      <w:rFonts w:ascii="Times New Roman" w:hAnsi="Times New Roman"/>
      <w:sz w:val="20"/>
      <w:szCs w:val="20"/>
    </w:rPr>
  </w:style>
  <w:style w:type="paragraph" w:styleId="Style31" w:customStyle="1">
    <w:name w:val="Style3"/>
    <w:basedOn w:val="Normal"/>
    <w:uiPriority w:val="99"/>
    <w:qFormat/>
    <w:rsid w:val="002f0e2a"/>
    <w:pPr>
      <w:widowControl w:val="false"/>
      <w:spacing w:lineRule="exact" w:line="324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51" w:customStyle="1">
    <w:name w:val="Style25"/>
    <w:basedOn w:val="Normal"/>
    <w:uiPriority w:val="99"/>
    <w:qFormat/>
    <w:rsid w:val="002f0e2a"/>
    <w:pPr>
      <w:widowControl w:val="false"/>
      <w:spacing w:lineRule="exact" w:line="322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9" w:customStyle="1">
    <w:name w:val="Style29"/>
    <w:basedOn w:val="Normal"/>
    <w:uiPriority w:val="99"/>
    <w:qFormat/>
    <w:rsid w:val="002f0e2a"/>
    <w:pPr>
      <w:widowControl w:val="false"/>
      <w:spacing w:lineRule="auto" w:line="240" w:before="0" w:after="0"/>
    </w:pPr>
    <w:rPr>
      <w:rFonts w:ascii="Times New Roman" w:hAnsi="Times New Roman" w:eastAsia="" w:eastAsiaTheme="minorEastAsia"/>
      <w:sz w:val="24"/>
      <w:szCs w:val="24"/>
    </w:rPr>
  </w:style>
  <w:style w:type="paragraph" w:styleId="4" w:customStyle="1">
    <w:name w:val="Основной текст4"/>
    <w:basedOn w:val="Normal"/>
    <w:link w:val="a9"/>
    <w:uiPriority w:val="99"/>
    <w:qFormat/>
    <w:rsid w:val="002f0e2a"/>
    <w:pPr>
      <w:widowControl w:val="false"/>
      <w:shd w:val="clear" w:color="auto" w:fill="FFFFFF"/>
      <w:spacing w:lineRule="atLeast" w:line="240" w:before="0" w:after="720"/>
      <w:ind w:hanging="1960"/>
      <w:jc w:val="right"/>
    </w:pPr>
    <w:rPr>
      <w:rFonts w:ascii="Times New Roman" w:hAnsi="Times New Roman" w:eastAsia="Calibri" w:eastAsiaTheme="minorHAnsi"/>
      <w:sz w:val="27"/>
      <w:szCs w:val="27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7907DE-1C06-4D16-9C99-2661C4ECC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Application>LibreOffice/6.0.5.2$Linux_X86_64 LibreOffice_project/00m0$Build-2</Application>
  <Pages>2</Pages>
  <Words>641</Words>
  <Characters>4905</Characters>
  <CharactersWithSpaces>5544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2018-01-25T00:57:00Z</dcterms:created>
  <dc:creator>user</dc:creator>
  <dc:description/>
  <dc:language>ru-RU</dc:language>
  <cp:lastModifiedBy/>
  <cp:lastPrinted>2019-10-03T16:52:27Z</cp:lastPrinted>
  <dcterms:modified xsi:type="dcterms:W3CDTF">2019-12-30T12:53:21Z</dcterms:modified>
  <cp:revision>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